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3E6D32" w:rsidRPr="003E6D32">
        <w:trPr>
          <w:tblCellSpacing w:w="0" w:type="dxa"/>
          <w:jc w:val="center"/>
        </w:trPr>
        <w:tc>
          <w:tcPr>
            <w:tcW w:w="0" w:type="auto"/>
            <w:tcMar>
              <w:top w:w="30" w:type="dxa"/>
              <w:left w:w="0" w:type="dxa"/>
              <w:bottom w:w="150" w:type="dxa"/>
              <w:right w:w="0" w:type="dxa"/>
            </w:tcMar>
            <w:vAlign w:val="center"/>
            <w:hideMark/>
          </w:tcPr>
          <w:p w:rsidR="003E6D32" w:rsidRPr="003E6D32" w:rsidRDefault="003E6D32" w:rsidP="003E6D32">
            <w:pPr>
              <w:adjustRightInd/>
              <w:snapToGrid/>
              <w:spacing w:after="0" w:line="360" w:lineRule="auto"/>
              <w:jc w:val="center"/>
              <w:rPr>
                <w:rFonts w:ascii="ˎ̥" w:eastAsia="宋体" w:hAnsi="ˎ̥" w:cs="Arial"/>
                <w:b/>
                <w:bCs/>
                <w:color w:val="093A96"/>
                <w:sz w:val="33"/>
                <w:szCs w:val="33"/>
              </w:rPr>
            </w:pPr>
            <w:r w:rsidRPr="003E6D32">
              <w:rPr>
                <w:rFonts w:ascii="ˎ̥" w:eastAsia="宋体" w:hAnsi="ˎ̥" w:cs="Arial"/>
                <w:b/>
                <w:bCs/>
                <w:color w:val="093A96"/>
                <w:sz w:val="33"/>
                <w:szCs w:val="33"/>
              </w:rPr>
              <w:t>《医疗器械召回管理办法》（国家食品药品监督管理总局令第</w:t>
            </w:r>
            <w:r w:rsidRPr="003E6D32">
              <w:rPr>
                <w:rFonts w:ascii="ˎ̥" w:eastAsia="宋体" w:hAnsi="ˎ̥" w:cs="Arial"/>
                <w:b/>
                <w:bCs/>
                <w:color w:val="093A96"/>
                <w:sz w:val="33"/>
                <w:szCs w:val="33"/>
              </w:rPr>
              <w:t>29</w:t>
            </w:r>
            <w:r w:rsidRPr="003E6D32">
              <w:rPr>
                <w:rFonts w:ascii="ˎ̥" w:eastAsia="宋体" w:hAnsi="ˎ̥" w:cs="Arial"/>
                <w:b/>
                <w:bCs/>
                <w:color w:val="093A96"/>
                <w:sz w:val="33"/>
                <w:szCs w:val="33"/>
              </w:rPr>
              <w:t>号）</w:t>
            </w:r>
            <w:r w:rsidRPr="003E6D32">
              <w:rPr>
                <w:rFonts w:ascii="ˎ̥" w:eastAsia="宋体" w:hAnsi="ˎ̥" w:cs="Arial"/>
                <w:b/>
                <w:bCs/>
                <w:color w:val="093A96"/>
                <w:sz w:val="33"/>
                <w:szCs w:val="33"/>
              </w:rPr>
              <w:t xml:space="preserve"> </w:t>
            </w:r>
          </w:p>
        </w:tc>
      </w:tr>
      <w:tr w:rsidR="003E6D32" w:rsidRPr="003E6D32">
        <w:trPr>
          <w:tblCellSpacing w:w="0" w:type="dxa"/>
          <w:jc w:val="center"/>
        </w:trPr>
        <w:tc>
          <w:tcPr>
            <w:tcW w:w="0" w:type="auto"/>
            <w:vAlign w:val="center"/>
            <w:hideMark/>
          </w:tcPr>
          <w:p w:rsidR="003E6D32" w:rsidRPr="003E6D32" w:rsidRDefault="003E6D32" w:rsidP="003E6D32">
            <w:pPr>
              <w:adjustRightInd/>
              <w:snapToGrid/>
              <w:spacing w:after="0" w:line="480" w:lineRule="auto"/>
              <w:rPr>
                <w:rFonts w:ascii="ˎ̥" w:eastAsia="宋体" w:hAnsi="ˎ̥" w:cs="Arial"/>
                <w:b/>
                <w:bCs/>
                <w:color w:val="093A96"/>
                <w:sz w:val="27"/>
                <w:szCs w:val="27"/>
              </w:rPr>
            </w:pPr>
          </w:p>
        </w:tc>
      </w:tr>
      <w:tr w:rsidR="003E6D32" w:rsidRPr="003E6D32">
        <w:trPr>
          <w:tblCellSpacing w:w="0" w:type="dxa"/>
          <w:jc w:val="center"/>
        </w:trPr>
        <w:tc>
          <w:tcPr>
            <w:tcW w:w="0" w:type="auto"/>
            <w:vAlign w:val="center"/>
            <w:hideMark/>
          </w:tcPr>
          <w:tbl>
            <w:tblPr>
              <w:tblW w:w="0" w:type="auto"/>
              <w:jc w:val="right"/>
              <w:tblCellSpacing w:w="15" w:type="dxa"/>
              <w:tblCellMar>
                <w:left w:w="0" w:type="dxa"/>
                <w:right w:w="0" w:type="dxa"/>
              </w:tblCellMar>
              <w:tblLook w:val="04A0"/>
            </w:tblPr>
            <w:tblGrid>
              <w:gridCol w:w="51"/>
              <w:gridCol w:w="180"/>
            </w:tblGrid>
            <w:tr w:rsidR="003E6D32" w:rsidRPr="003E6D32">
              <w:trPr>
                <w:tblCellSpacing w:w="15" w:type="dxa"/>
                <w:jc w:val="right"/>
              </w:trPr>
              <w:tc>
                <w:tcPr>
                  <w:tcW w:w="0" w:type="auto"/>
                  <w:tcMar>
                    <w:top w:w="60" w:type="dxa"/>
                    <w:left w:w="0" w:type="dxa"/>
                    <w:bottom w:w="0" w:type="dxa"/>
                    <w:right w:w="0" w:type="dxa"/>
                  </w:tcMar>
                  <w:vAlign w:val="center"/>
                  <w:hideMark/>
                </w:tcPr>
                <w:p w:rsidR="003E6D32" w:rsidRPr="003E6D32" w:rsidRDefault="003E6D32" w:rsidP="003E6D32">
                  <w:pPr>
                    <w:adjustRightInd/>
                    <w:snapToGrid/>
                    <w:spacing w:after="0" w:line="408" w:lineRule="auto"/>
                    <w:rPr>
                      <w:rFonts w:ascii="ˎ̥" w:eastAsia="宋体" w:hAnsi="ˎ̥" w:cs="Arial"/>
                      <w:sz w:val="18"/>
                      <w:szCs w:val="18"/>
                    </w:rPr>
                  </w:pPr>
                </w:p>
              </w:tc>
              <w:tc>
                <w:tcPr>
                  <w:tcW w:w="0" w:type="auto"/>
                  <w:vAlign w:val="center"/>
                  <w:hideMark/>
                </w:tcPr>
                <w:p w:rsidR="003E6D32" w:rsidRPr="003E6D32" w:rsidRDefault="003E6D32" w:rsidP="003E6D32">
                  <w:pPr>
                    <w:adjustRightInd/>
                    <w:snapToGrid/>
                    <w:spacing w:after="0" w:line="408" w:lineRule="auto"/>
                    <w:rPr>
                      <w:rFonts w:ascii="ˎ̥" w:eastAsia="宋体" w:hAnsi="ˎ̥" w:cs="Arial"/>
                      <w:sz w:val="18"/>
                      <w:szCs w:val="18"/>
                    </w:rPr>
                  </w:pPr>
                  <w:r w:rsidRPr="003E6D32">
                    <w:rPr>
                      <w:rFonts w:ascii="ˎ̥" w:eastAsia="宋体" w:hAnsi="ˎ̥" w:cs="Arial"/>
                      <w:sz w:val="18"/>
                      <w:szCs w:val="18"/>
                    </w:rPr>
                    <w:t xml:space="preserve">    </w:t>
                  </w:r>
                </w:p>
              </w:tc>
            </w:tr>
          </w:tbl>
          <w:p w:rsidR="003E6D32" w:rsidRPr="003E6D32" w:rsidRDefault="003E6D32" w:rsidP="003E6D32">
            <w:pPr>
              <w:adjustRightInd/>
              <w:snapToGrid/>
              <w:spacing w:after="0" w:line="408" w:lineRule="auto"/>
              <w:jc w:val="right"/>
              <w:rPr>
                <w:rFonts w:ascii="ˎ̥" w:eastAsia="宋体" w:hAnsi="ˎ̥" w:cs="Arial"/>
                <w:sz w:val="18"/>
                <w:szCs w:val="18"/>
              </w:rPr>
            </w:pPr>
          </w:p>
        </w:tc>
      </w:tr>
      <w:tr w:rsidR="003E6D32" w:rsidRPr="003E6D32">
        <w:trPr>
          <w:tblCellSpacing w:w="0" w:type="dxa"/>
          <w:jc w:val="center"/>
        </w:trPr>
        <w:tc>
          <w:tcPr>
            <w:tcW w:w="0" w:type="auto"/>
            <w:tcMar>
              <w:top w:w="120" w:type="dxa"/>
              <w:left w:w="0" w:type="dxa"/>
              <w:bottom w:w="0" w:type="dxa"/>
              <w:right w:w="0" w:type="dxa"/>
            </w:tcMar>
            <w:vAlign w:val="center"/>
            <w:hideMark/>
          </w:tcPr>
          <w:p w:rsidR="003E6D32" w:rsidRPr="003E6D32" w:rsidRDefault="003E6D32" w:rsidP="003E6D32">
            <w:pPr>
              <w:adjustRightInd/>
              <w:snapToGrid/>
              <w:spacing w:after="0" w:line="360" w:lineRule="auto"/>
              <w:jc w:val="right"/>
              <w:rPr>
                <w:rFonts w:ascii="ˎ̥" w:eastAsia="宋体" w:hAnsi="ˎ̥" w:cs="Arial"/>
                <w:color w:val="919191"/>
                <w:sz w:val="21"/>
                <w:szCs w:val="21"/>
              </w:rPr>
            </w:pPr>
            <w:r w:rsidRPr="003E6D32">
              <w:rPr>
                <w:rFonts w:ascii="ˎ̥" w:eastAsia="宋体" w:hAnsi="ˎ̥" w:cs="Arial"/>
                <w:color w:val="919191"/>
                <w:sz w:val="21"/>
                <w:szCs w:val="21"/>
              </w:rPr>
              <w:t>2017</w:t>
            </w:r>
            <w:r w:rsidRPr="003E6D32">
              <w:rPr>
                <w:rFonts w:ascii="ˎ̥" w:eastAsia="宋体" w:hAnsi="ˎ̥" w:cs="Arial"/>
                <w:color w:val="919191"/>
                <w:sz w:val="21"/>
                <w:szCs w:val="21"/>
              </w:rPr>
              <w:t>年</w:t>
            </w:r>
            <w:r w:rsidRPr="003E6D32">
              <w:rPr>
                <w:rFonts w:ascii="ˎ̥" w:eastAsia="宋体" w:hAnsi="ˎ̥" w:cs="Arial"/>
                <w:color w:val="919191"/>
                <w:sz w:val="21"/>
                <w:szCs w:val="21"/>
              </w:rPr>
              <w:t>02</w:t>
            </w:r>
            <w:r w:rsidRPr="003E6D32">
              <w:rPr>
                <w:rFonts w:ascii="ˎ̥" w:eastAsia="宋体" w:hAnsi="ˎ̥" w:cs="Arial"/>
                <w:color w:val="919191"/>
                <w:sz w:val="21"/>
                <w:szCs w:val="21"/>
              </w:rPr>
              <w:t>月</w:t>
            </w:r>
            <w:r w:rsidRPr="003E6D32">
              <w:rPr>
                <w:rFonts w:ascii="ˎ̥" w:eastAsia="宋体" w:hAnsi="ˎ̥" w:cs="Arial"/>
                <w:color w:val="919191"/>
                <w:sz w:val="21"/>
                <w:szCs w:val="21"/>
              </w:rPr>
              <w:t>08</w:t>
            </w:r>
            <w:r w:rsidRPr="003E6D32">
              <w:rPr>
                <w:rFonts w:ascii="ˎ̥" w:eastAsia="宋体" w:hAnsi="ˎ̥" w:cs="Arial"/>
                <w:color w:val="919191"/>
                <w:sz w:val="21"/>
                <w:szCs w:val="21"/>
              </w:rPr>
              <w:t>日</w:t>
            </w:r>
            <w:r w:rsidRPr="003E6D32">
              <w:rPr>
                <w:rFonts w:ascii="ˎ̥" w:eastAsia="宋体" w:hAnsi="ˎ̥" w:cs="Arial"/>
                <w:color w:val="919191"/>
                <w:sz w:val="21"/>
                <w:szCs w:val="21"/>
              </w:rPr>
              <w:t xml:space="preserve"> </w:t>
            </w:r>
            <w:r w:rsidRPr="003E6D32">
              <w:rPr>
                <w:rFonts w:ascii="ˎ̥" w:eastAsia="宋体" w:hAnsi="ˎ̥" w:cs="Arial"/>
                <w:color w:val="919191"/>
                <w:sz w:val="21"/>
                <w:szCs w:val="21"/>
              </w:rPr>
              <w:t>发布</w:t>
            </w:r>
            <w:r w:rsidRPr="003E6D32">
              <w:rPr>
                <w:rFonts w:ascii="ˎ̥" w:eastAsia="宋体" w:hAnsi="ˎ̥" w:cs="Arial"/>
                <w:color w:val="919191"/>
                <w:sz w:val="21"/>
                <w:szCs w:val="21"/>
              </w:rPr>
              <w:t xml:space="preserve"> </w:t>
            </w:r>
          </w:p>
        </w:tc>
      </w:tr>
      <w:tr w:rsidR="003E6D32" w:rsidRPr="003E6D32">
        <w:trPr>
          <w:trHeight w:val="60"/>
          <w:tblCellSpacing w:w="0" w:type="dxa"/>
          <w:jc w:val="center"/>
        </w:trPr>
        <w:tc>
          <w:tcPr>
            <w:tcW w:w="5000" w:type="pct"/>
            <w:vAlign w:val="center"/>
            <w:hideMark/>
          </w:tcPr>
          <w:p w:rsidR="003E6D32" w:rsidRPr="003E6D32" w:rsidRDefault="003E6D32" w:rsidP="003E6D32">
            <w:pPr>
              <w:adjustRightInd/>
              <w:snapToGrid/>
              <w:spacing w:after="0" w:line="408" w:lineRule="auto"/>
              <w:jc w:val="center"/>
              <w:rPr>
                <w:rFonts w:ascii="ˎ̥" w:eastAsia="宋体" w:hAnsi="ˎ̥" w:cs="Arial"/>
                <w:color w:val="000000"/>
                <w:sz w:val="6"/>
                <w:szCs w:val="18"/>
              </w:rPr>
            </w:pPr>
          </w:p>
        </w:tc>
      </w:tr>
      <w:tr w:rsidR="003E6D32" w:rsidRPr="003E6D32">
        <w:trPr>
          <w:tblCellSpacing w:w="0" w:type="dxa"/>
          <w:jc w:val="center"/>
        </w:trPr>
        <w:tc>
          <w:tcPr>
            <w:tcW w:w="0" w:type="auto"/>
            <w:tcMar>
              <w:top w:w="300" w:type="dxa"/>
              <w:left w:w="0" w:type="dxa"/>
              <w:bottom w:w="0" w:type="dxa"/>
              <w:right w:w="0" w:type="dxa"/>
            </w:tcMar>
            <w:vAlign w:val="center"/>
            <w:hideMark/>
          </w:tcPr>
          <w:p w:rsidR="003E6D32" w:rsidRPr="003E6D32" w:rsidRDefault="003E6D32" w:rsidP="003E6D32">
            <w:pPr>
              <w:adjustRightInd/>
              <w:snapToGrid/>
              <w:spacing w:before="100" w:beforeAutospacing="1" w:after="100" w:afterAutospacing="1" w:line="480" w:lineRule="auto"/>
              <w:jc w:val="center"/>
              <w:rPr>
                <w:rFonts w:ascii="ˎ̥" w:eastAsia="宋体" w:hAnsi="ˎ̥" w:cs="Arial"/>
                <w:color w:val="000000"/>
                <w:sz w:val="21"/>
                <w:szCs w:val="21"/>
              </w:rPr>
            </w:pPr>
            <w:r w:rsidRPr="003E6D32">
              <w:rPr>
                <w:rFonts w:ascii="ˎ̥" w:eastAsia="宋体" w:hAnsi="ˎ̥" w:cs="Arial"/>
                <w:b/>
                <w:bCs/>
                <w:color w:val="FF0000"/>
                <w:sz w:val="54"/>
              </w:rPr>
              <w:t>国家食品药品监督管理总局令</w:t>
            </w:r>
          </w:p>
          <w:p w:rsidR="003E6D32" w:rsidRPr="003E6D32" w:rsidRDefault="003E6D32" w:rsidP="003E6D32">
            <w:pPr>
              <w:adjustRightInd/>
              <w:snapToGrid/>
              <w:spacing w:before="100" w:beforeAutospacing="1" w:after="100" w:afterAutospacing="1" w:line="480" w:lineRule="auto"/>
              <w:jc w:val="center"/>
              <w:rPr>
                <w:rFonts w:ascii="ˎ̥" w:eastAsia="宋体" w:hAnsi="ˎ̥" w:cs="Arial"/>
                <w:color w:val="000000"/>
                <w:sz w:val="21"/>
                <w:szCs w:val="21"/>
              </w:rPr>
            </w:pPr>
            <w:r w:rsidRPr="003E6D32">
              <w:rPr>
                <w:rFonts w:ascii="ˎ̥" w:eastAsia="宋体" w:hAnsi="ˎ̥" w:cs="Arial"/>
                <w:color w:val="000000"/>
                <w:sz w:val="21"/>
                <w:szCs w:val="21"/>
              </w:rPr>
              <w:t>第</w:t>
            </w:r>
            <w:r w:rsidRPr="003E6D32">
              <w:rPr>
                <w:rFonts w:ascii="ˎ̥" w:eastAsia="宋体" w:hAnsi="ˎ̥" w:cs="Arial"/>
                <w:color w:val="000000"/>
                <w:sz w:val="21"/>
                <w:szCs w:val="21"/>
              </w:rPr>
              <w:t>29</w:t>
            </w:r>
            <w:r w:rsidRPr="003E6D32">
              <w:rPr>
                <w:rFonts w:ascii="ˎ̥" w:eastAsia="宋体" w:hAnsi="ˎ̥" w:cs="Arial"/>
                <w:color w:val="000000"/>
                <w:sz w:val="21"/>
                <w:szCs w:val="21"/>
              </w:rPr>
              <w:t>号</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《医疗器械召回管理办法》已于</w:t>
            </w:r>
            <w:r w:rsidRPr="003E6D32">
              <w:rPr>
                <w:rFonts w:ascii="ˎ̥" w:eastAsia="宋体" w:hAnsi="ˎ̥" w:cs="Arial"/>
                <w:color w:val="000000"/>
                <w:sz w:val="21"/>
                <w:szCs w:val="21"/>
              </w:rPr>
              <w:t>2017</w:t>
            </w:r>
            <w:r w:rsidRPr="003E6D32">
              <w:rPr>
                <w:rFonts w:ascii="ˎ̥" w:eastAsia="宋体" w:hAnsi="ˎ̥" w:cs="Arial"/>
                <w:color w:val="000000"/>
                <w:sz w:val="21"/>
                <w:szCs w:val="21"/>
              </w:rPr>
              <w:t>年</w:t>
            </w:r>
            <w:r w:rsidRPr="003E6D32">
              <w:rPr>
                <w:rFonts w:ascii="ˎ̥" w:eastAsia="宋体" w:hAnsi="ˎ̥" w:cs="Arial"/>
                <w:color w:val="000000"/>
                <w:sz w:val="21"/>
                <w:szCs w:val="21"/>
              </w:rPr>
              <w:t>1</w:t>
            </w:r>
            <w:r w:rsidRPr="003E6D32">
              <w:rPr>
                <w:rFonts w:ascii="ˎ̥" w:eastAsia="宋体" w:hAnsi="ˎ̥" w:cs="Arial"/>
                <w:color w:val="000000"/>
                <w:sz w:val="21"/>
                <w:szCs w:val="21"/>
              </w:rPr>
              <w:t>月</w:t>
            </w:r>
            <w:r w:rsidRPr="003E6D32">
              <w:rPr>
                <w:rFonts w:ascii="ˎ̥" w:eastAsia="宋体" w:hAnsi="ˎ̥" w:cs="Arial"/>
                <w:color w:val="000000"/>
                <w:sz w:val="21"/>
                <w:szCs w:val="21"/>
              </w:rPr>
              <w:t>5</w:t>
            </w:r>
            <w:r w:rsidRPr="003E6D32">
              <w:rPr>
                <w:rFonts w:ascii="ˎ̥" w:eastAsia="宋体" w:hAnsi="ˎ̥" w:cs="Arial"/>
                <w:color w:val="000000"/>
                <w:sz w:val="21"/>
                <w:szCs w:val="21"/>
              </w:rPr>
              <w:t>日经国家食品药品监督管理总局局务会议审议通过，现予公布，自</w:t>
            </w:r>
            <w:r w:rsidRPr="003E6D32">
              <w:rPr>
                <w:rFonts w:ascii="ˎ̥" w:eastAsia="宋体" w:hAnsi="ˎ̥" w:cs="Arial"/>
                <w:color w:val="000000"/>
                <w:sz w:val="21"/>
                <w:szCs w:val="21"/>
              </w:rPr>
              <w:t>2017</w:t>
            </w:r>
            <w:r w:rsidRPr="003E6D32">
              <w:rPr>
                <w:rFonts w:ascii="ˎ̥" w:eastAsia="宋体" w:hAnsi="ˎ̥" w:cs="Arial"/>
                <w:color w:val="000000"/>
                <w:sz w:val="21"/>
                <w:szCs w:val="21"/>
              </w:rPr>
              <w:t>年</w:t>
            </w:r>
            <w:r w:rsidRPr="003E6D32">
              <w:rPr>
                <w:rFonts w:ascii="ˎ̥" w:eastAsia="宋体" w:hAnsi="ˎ̥" w:cs="Arial"/>
                <w:color w:val="000000"/>
                <w:sz w:val="21"/>
                <w:szCs w:val="21"/>
              </w:rPr>
              <w:t>5</w:t>
            </w:r>
            <w:r w:rsidRPr="003E6D32">
              <w:rPr>
                <w:rFonts w:ascii="ˎ̥" w:eastAsia="宋体" w:hAnsi="ˎ̥" w:cs="Arial"/>
                <w:color w:val="000000"/>
                <w:sz w:val="21"/>
                <w:szCs w:val="21"/>
              </w:rPr>
              <w:t>月</w:t>
            </w:r>
            <w:r w:rsidRPr="003E6D32">
              <w:rPr>
                <w:rFonts w:ascii="ˎ̥" w:eastAsia="宋体" w:hAnsi="ˎ̥" w:cs="Arial"/>
                <w:color w:val="000000"/>
                <w:sz w:val="21"/>
                <w:szCs w:val="21"/>
              </w:rPr>
              <w:t>1</w:t>
            </w:r>
            <w:r w:rsidRPr="003E6D32">
              <w:rPr>
                <w:rFonts w:ascii="ˎ̥" w:eastAsia="宋体" w:hAnsi="ˎ̥" w:cs="Arial"/>
                <w:color w:val="000000"/>
                <w:sz w:val="21"/>
                <w:szCs w:val="21"/>
              </w:rPr>
              <w:t>日起施行。</w:t>
            </w:r>
          </w:p>
          <w:p w:rsidR="003E6D32" w:rsidRPr="003E6D32" w:rsidRDefault="003E6D32" w:rsidP="003E6D32">
            <w:pPr>
              <w:adjustRightInd/>
              <w:snapToGrid/>
              <w:spacing w:before="100" w:beforeAutospacing="1" w:after="100" w:afterAutospacing="1" w:line="480" w:lineRule="auto"/>
              <w:jc w:val="center"/>
              <w:rPr>
                <w:rFonts w:ascii="ˎ̥" w:eastAsia="宋体" w:hAnsi="ˎ̥" w:cs="Arial"/>
                <w:color w:val="000000"/>
                <w:sz w:val="21"/>
                <w:szCs w:val="21"/>
              </w:rPr>
            </w:pPr>
            <w:r w:rsidRPr="003E6D32">
              <w:rPr>
                <w:rFonts w:ascii="ˎ̥" w:eastAsia="宋体" w:hAnsi="ˎ̥" w:cs="Arial"/>
                <w:color w:val="000000"/>
                <w:sz w:val="21"/>
                <w:szCs w:val="21"/>
              </w:rPr>
              <w:t>局长：毕井泉</w:t>
            </w:r>
            <w:r w:rsidRPr="003E6D32">
              <w:rPr>
                <w:rFonts w:ascii="ˎ̥" w:eastAsia="宋体" w:hAnsi="ˎ̥" w:cs="Arial"/>
                <w:color w:val="000000"/>
                <w:sz w:val="18"/>
                <w:szCs w:val="18"/>
              </w:rPr>
              <w:br/>
            </w:r>
            <w:r w:rsidRPr="003E6D32">
              <w:rPr>
                <w:rFonts w:ascii="ˎ̥" w:eastAsia="宋体" w:hAnsi="ˎ̥" w:cs="Arial"/>
                <w:color w:val="000000"/>
                <w:sz w:val="21"/>
                <w:szCs w:val="21"/>
              </w:rPr>
              <w:t>2017</w:t>
            </w:r>
            <w:r w:rsidRPr="003E6D32">
              <w:rPr>
                <w:rFonts w:ascii="ˎ̥" w:eastAsia="宋体" w:hAnsi="ˎ̥" w:cs="Arial"/>
                <w:color w:val="000000"/>
                <w:sz w:val="21"/>
                <w:szCs w:val="21"/>
              </w:rPr>
              <w:t>年</w:t>
            </w:r>
            <w:r w:rsidRPr="003E6D32">
              <w:rPr>
                <w:rFonts w:ascii="ˎ̥" w:eastAsia="宋体" w:hAnsi="ˎ̥" w:cs="Arial"/>
                <w:color w:val="000000"/>
                <w:sz w:val="21"/>
                <w:szCs w:val="21"/>
              </w:rPr>
              <w:t>1</w:t>
            </w:r>
            <w:r w:rsidRPr="003E6D32">
              <w:rPr>
                <w:rFonts w:ascii="ˎ̥" w:eastAsia="宋体" w:hAnsi="ˎ̥" w:cs="Arial"/>
                <w:color w:val="000000"/>
                <w:sz w:val="21"/>
                <w:szCs w:val="21"/>
              </w:rPr>
              <w:t>月</w:t>
            </w:r>
            <w:r w:rsidRPr="003E6D32">
              <w:rPr>
                <w:rFonts w:ascii="ˎ̥" w:eastAsia="宋体" w:hAnsi="ˎ̥" w:cs="Arial"/>
                <w:color w:val="000000"/>
                <w:sz w:val="21"/>
                <w:szCs w:val="21"/>
              </w:rPr>
              <w:t>25</w:t>
            </w:r>
            <w:r w:rsidRPr="003E6D32">
              <w:rPr>
                <w:rFonts w:ascii="ˎ̥" w:eastAsia="宋体" w:hAnsi="ˎ̥" w:cs="Arial"/>
                <w:color w:val="000000"/>
                <w:sz w:val="21"/>
                <w:szCs w:val="21"/>
              </w:rPr>
              <w:t>日</w:t>
            </w:r>
          </w:p>
          <w:p w:rsidR="003E6D32" w:rsidRPr="003E6D32" w:rsidRDefault="003E6D32" w:rsidP="003E6D32">
            <w:pPr>
              <w:adjustRightInd/>
              <w:snapToGrid/>
              <w:spacing w:before="100" w:beforeAutospacing="1" w:after="100" w:afterAutospacing="1" w:line="480" w:lineRule="auto"/>
              <w:jc w:val="center"/>
              <w:rPr>
                <w:rFonts w:ascii="ˎ̥" w:eastAsia="宋体" w:hAnsi="ˎ̥" w:cs="Arial"/>
                <w:color w:val="000000"/>
                <w:sz w:val="21"/>
                <w:szCs w:val="21"/>
              </w:rPr>
            </w:pPr>
            <w:r w:rsidRPr="003E6D32">
              <w:rPr>
                <w:rFonts w:ascii="ˎ̥" w:eastAsia="宋体" w:hAnsi="ˎ̥" w:cs="Arial"/>
                <w:color w:val="000000"/>
                <w:sz w:val="18"/>
                <w:szCs w:val="18"/>
              </w:rPr>
              <w:br/>
            </w:r>
            <w:r w:rsidRPr="003E6D32">
              <w:rPr>
                <w:rFonts w:ascii="ˎ̥" w:eastAsia="宋体" w:hAnsi="ˎ̥" w:cs="Arial"/>
                <w:b/>
                <w:bCs/>
                <w:color w:val="000000"/>
                <w:sz w:val="36"/>
              </w:rPr>
              <w:t>医疗器械召回管理办法</w:t>
            </w:r>
          </w:p>
          <w:p w:rsidR="003E6D32" w:rsidRPr="003E6D32" w:rsidRDefault="003E6D32" w:rsidP="003E6D32">
            <w:pPr>
              <w:adjustRightInd/>
              <w:snapToGrid/>
              <w:spacing w:before="100" w:beforeAutospacing="1" w:after="100" w:afterAutospacing="1" w:line="480" w:lineRule="auto"/>
              <w:jc w:val="center"/>
              <w:rPr>
                <w:rFonts w:ascii="ˎ̥" w:eastAsia="宋体" w:hAnsi="ˎ̥" w:cs="Arial"/>
                <w:color w:val="000000"/>
                <w:sz w:val="21"/>
                <w:szCs w:val="21"/>
              </w:rPr>
            </w:pPr>
            <w:r w:rsidRPr="003E6D32">
              <w:rPr>
                <w:rFonts w:ascii="ˎ̥" w:eastAsia="宋体" w:hAnsi="ˎ̥" w:cs="Arial"/>
                <w:b/>
                <w:bCs/>
                <w:color w:val="000000"/>
                <w:sz w:val="21"/>
              </w:rPr>
              <w:t>第一章　总　则</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第一条</w:t>
            </w:r>
            <w:r w:rsidRPr="003E6D32">
              <w:rPr>
                <w:rFonts w:ascii="ˎ̥" w:eastAsia="宋体" w:hAnsi="ˎ̥" w:cs="Arial"/>
                <w:color w:val="000000"/>
                <w:sz w:val="21"/>
                <w:szCs w:val="21"/>
              </w:rPr>
              <w:t xml:space="preserve">　为加强医疗器械监督管理，控制存在缺陷的医疗器械产品，消除医疗器械安全隐患，保证医疗器械的安全、有效，保障人体健康和生命安全，根据《医疗器械监督管理条例》，制定本办法。</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第二条</w:t>
            </w:r>
            <w:r w:rsidRPr="003E6D32">
              <w:rPr>
                <w:rFonts w:ascii="ˎ̥" w:eastAsia="宋体" w:hAnsi="ˎ̥" w:cs="Arial"/>
                <w:color w:val="000000"/>
                <w:sz w:val="21"/>
                <w:szCs w:val="21"/>
              </w:rPr>
              <w:t xml:space="preserve">　中华人民共和国境内已上市医疗器械的召回及其监督管理，适用本办法。</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lastRenderedPageBreak/>
              <w:t xml:space="preserve">　　</w:t>
            </w:r>
            <w:r w:rsidRPr="003E6D32">
              <w:rPr>
                <w:rFonts w:ascii="ˎ̥" w:eastAsia="宋体" w:hAnsi="ˎ̥" w:cs="Arial"/>
                <w:b/>
                <w:bCs/>
                <w:color w:val="000000"/>
                <w:sz w:val="21"/>
              </w:rPr>
              <w:t>第三条</w:t>
            </w:r>
            <w:r w:rsidRPr="003E6D32">
              <w:rPr>
                <w:rFonts w:ascii="ˎ̥" w:eastAsia="宋体" w:hAnsi="ˎ̥" w:cs="Arial"/>
                <w:color w:val="000000"/>
                <w:sz w:val="21"/>
                <w:szCs w:val="21"/>
              </w:rPr>
              <w:t xml:space="preserve">　本办法所称医疗器械召回，是指医疗器械生产企业按照规定的程序对其已上市销售的某一类别、型号或者批次的存在缺陷的医疗器械产品，采取警示、检查、修理、重新标签、修改并完善说明书、软件更新、替换、收回、销毁等方式进行处理的行为。</w:t>
            </w:r>
            <w:r w:rsidRPr="003E6D32">
              <w:rPr>
                <w:rFonts w:ascii="ˎ̥" w:eastAsia="宋体" w:hAnsi="ˎ̥" w:cs="Arial"/>
                <w:color w:val="000000"/>
                <w:sz w:val="18"/>
                <w:szCs w:val="18"/>
              </w:rPr>
              <w:br/>
            </w:r>
            <w:r w:rsidRPr="003E6D32">
              <w:rPr>
                <w:rFonts w:ascii="ˎ̥" w:eastAsia="宋体" w:hAnsi="ˎ̥" w:cs="Arial"/>
                <w:color w:val="000000"/>
                <w:sz w:val="21"/>
                <w:szCs w:val="21"/>
              </w:rPr>
              <w:t xml:space="preserve">　　前款所述医疗器械生产企业，是指境内医疗器械产品注册人或者备案人、进口医疗器械的境外制造厂商在中国境内指定的代理人。</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第四条</w:t>
            </w:r>
            <w:r w:rsidRPr="003E6D32">
              <w:rPr>
                <w:rFonts w:ascii="ˎ̥" w:eastAsia="宋体" w:hAnsi="ˎ̥" w:cs="Arial"/>
                <w:color w:val="000000"/>
                <w:sz w:val="21"/>
                <w:szCs w:val="21"/>
              </w:rPr>
              <w:t xml:space="preserve">　本办法所称存在缺陷的医疗器械产品包括：</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（一）正常使用情况下存在可能危及人体健康和生命安全的不合理风险的产品；</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（二）不符合强制性标准、经注册或者备案的产品技术要求的产品；</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（三）不符合医疗器械生产、经营质量管理有关规定导致可能存在不合理风险的产品；</w:t>
            </w:r>
            <w:r w:rsidRPr="003E6D32">
              <w:rPr>
                <w:rFonts w:ascii="ˎ̥" w:eastAsia="宋体" w:hAnsi="ˎ̥" w:cs="Arial"/>
                <w:color w:val="000000"/>
                <w:sz w:val="18"/>
                <w:szCs w:val="18"/>
              </w:rPr>
              <w:br/>
            </w:r>
            <w:r w:rsidRPr="003E6D32">
              <w:rPr>
                <w:rFonts w:ascii="ˎ̥" w:eastAsia="宋体" w:hAnsi="ˎ̥" w:cs="Arial"/>
                <w:color w:val="000000"/>
                <w:sz w:val="21"/>
                <w:szCs w:val="21"/>
              </w:rPr>
              <w:t xml:space="preserve">　　（四）其他需要召回的产品。</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第五条</w:t>
            </w:r>
            <w:r w:rsidRPr="003E6D32">
              <w:rPr>
                <w:rFonts w:ascii="ˎ̥" w:eastAsia="宋体" w:hAnsi="ˎ̥" w:cs="Arial"/>
                <w:color w:val="000000"/>
                <w:sz w:val="21"/>
                <w:szCs w:val="21"/>
              </w:rPr>
              <w:t xml:space="preserve">　医疗器械生产企业是控制与消除产品缺陷的责任主体，应当主动对缺陷产品实施召回。</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第六条</w:t>
            </w:r>
            <w:r w:rsidRPr="003E6D32">
              <w:rPr>
                <w:rFonts w:ascii="ˎ̥" w:eastAsia="宋体" w:hAnsi="ˎ̥" w:cs="Arial"/>
                <w:color w:val="000000"/>
                <w:sz w:val="21"/>
                <w:szCs w:val="21"/>
              </w:rPr>
              <w:t xml:space="preserve">　医疗器械生产企业应当按照本办法的规定建立健全医疗器械召回管理制度，收集医疗器械安全相关信息，对可能的缺陷产品进行调查、评估，及时召回缺陷产品。</w:t>
            </w:r>
            <w:r w:rsidRPr="003E6D32">
              <w:rPr>
                <w:rFonts w:ascii="ˎ̥" w:eastAsia="宋体" w:hAnsi="ˎ̥" w:cs="Arial"/>
                <w:color w:val="000000"/>
                <w:sz w:val="18"/>
                <w:szCs w:val="18"/>
              </w:rPr>
              <w:br/>
            </w:r>
            <w:r w:rsidRPr="003E6D32">
              <w:rPr>
                <w:rFonts w:ascii="ˎ̥" w:eastAsia="宋体" w:hAnsi="ˎ̥" w:cs="Arial"/>
                <w:color w:val="000000"/>
                <w:sz w:val="21"/>
                <w:szCs w:val="21"/>
              </w:rPr>
              <w:t xml:space="preserve">　　进口医疗器械的境外制造厂商在中国境内指定的代理人应当将仅在境外实施医疗器械召回的有关信息及时报告国家食品药品监督管理总局；凡涉及在境内实施召回的，中国境内指定的代理人应当按照本办法的规定组织实施。</w:t>
            </w:r>
            <w:r w:rsidRPr="003E6D32">
              <w:rPr>
                <w:rFonts w:ascii="ˎ̥" w:eastAsia="宋体" w:hAnsi="ˎ̥" w:cs="Arial"/>
                <w:color w:val="000000"/>
                <w:sz w:val="18"/>
                <w:szCs w:val="18"/>
              </w:rPr>
              <w:br/>
            </w:r>
            <w:r w:rsidRPr="003E6D32">
              <w:rPr>
                <w:rFonts w:ascii="ˎ̥" w:eastAsia="宋体" w:hAnsi="ˎ̥" w:cs="Arial"/>
                <w:color w:val="000000"/>
                <w:sz w:val="21"/>
                <w:szCs w:val="21"/>
              </w:rPr>
              <w:t xml:space="preserve">　　医疗器械经营企业、使用单位应当积极协助医疗器械生产企业对缺陷产品进行调查、评估，主动配合生产企业履行召回义务，按照召回计划及时传达、反馈医疗器械召回信息，控制和收回缺陷产品。</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第七条</w:t>
            </w:r>
            <w:r w:rsidRPr="003E6D32">
              <w:rPr>
                <w:rFonts w:ascii="ˎ̥" w:eastAsia="宋体" w:hAnsi="ˎ̥" w:cs="Arial"/>
                <w:color w:val="000000"/>
                <w:sz w:val="21"/>
                <w:szCs w:val="21"/>
              </w:rPr>
              <w:t xml:space="preserve">　医疗器械经营企业、使用单位发现其经营、使用的医疗器械可能为缺陷产品的，应当立即暂停销售或者使用该医疗器械，及时通知医疗器械生产企业或者供货商，并</w:t>
            </w:r>
            <w:r w:rsidRPr="003E6D32">
              <w:rPr>
                <w:rFonts w:ascii="ˎ̥" w:eastAsia="宋体" w:hAnsi="ˎ̥" w:cs="Arial"/>
                <w:color w:val="000000"/>
                <w:sz w:val="21"/>
                <w:szCs w:val="21"/>
              </w:rPr>
              <w:lastRenderedPageBreak/>
              <w:t>向所在地省、自治区、直辖市食品药品监督管理部门报告；使用单位为医疗机构的，还应当同时向所在地省、自治区、直辖市卫生行政部门报告。</w:t>
            </w:r>
            <w:r w:rsidRPr="003E6D32">
              <w:rPr>
                <w:rFonts w:ascii="ˎ̥" w:eastAsia="宋体" w:hAnsi="ˎ̥" w:cs="Arial"/>
                <w:color w:val="000000"/>
                <w:sz w:val="18"/>
                <w:szCs w:val="18"/>
              </w:rPr>
              <w:br/>
            </w:r>
            <w:r w:rsidRPr="003E6D32">
              <w:rPr>
                <w:rFonts w:ascii="ˎ̥" w:eastAsia="宋体" w:hAnsi="ˎ̥" w:cs="Arial"/>
                <w:color w:val="000000"/>
                <w:sz w:val="21"/>
                <w:szCs w:val="21"/>
              </w:rPr>
              <w:t xml:space="preserve">　　医疗器械经营企业、使用单位所在地省、自治区、直辖市食品药品监督管理部门收到报告后，应当及时通报医疗器械生产企业所在地省、自治区、直辖市食品药品监督管理部门。</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第八条</w:t>
            </w:r>
            <w:r w:rsidRPr="003E6D32">
              <w:rPr>
                <w:rFonts w:ascii="ˎ̥" w:eastAsia="宋体" w:hAnsi="ˎ̥" w:cs="Arial"/>
                <w:color w:val="000000"/>
                <w:sz w:val="21"/>
                <w:szCs w:val="21"/>
              </w:rPr>
              <w:t xml:space="preserve">　召回医疗器械的生产企业所在地省、自治区、直辖市食品药品监督管理部门负责医疗器械召回的监督管理，其他省、自治区、直辖市食品药品监督管理部门应当配合做好本行政区域内医疗器械召回的有关工作。</w:t>
            </w:r>
            <w:r w:rsidRPr="003E6D32">
              <w:rPr>
                <w:rFonts w:ascii="ˎ̥" w:eastAsia="宋体" w:hAnsi="ˎ̥" w:cs="Arial"/>
                <w:color w:val="000000"/>
                <w:sz w:val="18"/>
                <w:szCs w:val="18"/>
              </w:rPr>
              <w:br/>
            </w:r>
            <w:r w:rsidRPr="003E6D32">
              <w:rPr>
                <w:rFonts w:ascii="ˎ̥" w:eastAsia="宋体" w:hAnsi="ˎ̥" w:cs="Arial"/>
                <w:color w:val="000000"/>
                <w:sz w:val="21"/>
                <w:szCs w:val="21"/>
              </w:rPr>
              <w:t xml:space="preserve">　　国家食品药品监督管理总局监督全国医疗器械召回的管理工作。</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第九条</w:t>
            </w:r>
            <w:r w:rsidRPr="003E6D32">
              <w:rPr>
                <w:rFonts w:ascii="ˎ̥" w:eastAsia="宋体" w:hAnsi="ˎ̥" w:cs="Arial"/>
                <w:color w:val="000000"/>
                <w:sz w:val="21"/>
                <w:szCs w:val="21"/>
              </w:rPr>
              <w:t xml:space="preserve">　国家食品药品监督管理总局和省、自治区、直辖市食品药品监督管理部门应当按照医疗器械召回信息通报和信息公开有关制度，采取有效途径向社会公布缺陷产品信息和召回信息，必要时向同级卫生行政部门通报相关信息。</w:t>
            </w:r>
          </w:p>
          <w:p w:rsidR="003E6D32" w:rsidRPr="003E6D32" w:rsidRDefault="003E6D32" w:rsidP="003E6D32">
            <w:pPr>
              <w:adjustRightInd/>
              <w:snapToGrid/>
              <w:spacing w:before="100" w:beforeAutospacing="1" w:after="100" w:afterAutospacing="1" w:line="480" w:lineRule="auto"/>
              <w:jc w:val="center"/>
              <w:rPr>
                <w:rFonts w:ascii="ˎ̥" w:eastAsia="宋体" w:hAnsi="ˎ̥" w:cs="Arial"/>
                <w:color w:val="000000"/>
                <w:sz w:val="21"/>
                <w:szCs w:val="21"/>
              </w:rPr>
            </w:pPr>
            <w:r w:rsidRPr="003E6D32">
              <w:rPr>
                <w:rFonts w:ascii="ˎ̥" w:eastAsia="宋体" w:hAnsi="ˎ̥" w:cs="Arial"/>
                <w:b/>
                <w:bCs/>
                <w:color w:val="000000"/>
                <w:sz w:val="21"/>
              </w:rPr>
              <w:t>第二章　医疗器械缺陷的调查与评估</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 xml:space="preserve">　第十条</w:t>
            </w:r>
            <w:r w:rsidRPr="003E6D32">
              <w:rPr>
                <w:rFonts w:ascii="ˎ̥" w:eastAsia="宋体" w:hAnsi="ˎ̥" w:cs="Arial"/>
                <w:color w:val="000000"/>
                <w:sz w:val="21"/>
                <w:szCs w:val="21"/>
              </w:rPr>
              <w:t xml:space="preserve">　医疗器械生产企业应当按照规定建立健全医疗器械质量管理体系和医疗器械不良事件监测系统，收集、记录医疗器械的质量投诉信息和医疗器械不良事件信息，对收集的信息进行分析，对可能存在的缺陷进行调查和评估。</w:t>
            </w:r>
            <w:r w:rsidRPr="003E6D32">
              <w:rPr>
                <w:rFonts w:ascii="ˎ̥" w:eastAsia="宋体" w:hAnsi="ˎ̥" w:cs="Arial"/>
                <w:color w:val="000000"/>
                <w:sz w:val="18"/>
                <w:szCs w:val="18"/>
              </w:rPr>
              <w:br/>
            </w:r>
            <w:r w:rsidRPr="003E6D32">
              <w:rPr>
                <w:rFonts w:ascii="ˎ̥" w:eastAsia="宋体" w:hAnsi="ˎ̥" w:cs="Arial"/>
                <w:color w:val="000000"/>
                <w:sz w:val="21"/>
                <w:szCs w:val="21"/>
              </w:rPr>
              <w:t xml:space="preserve">　　医疗器械经营企业、使用单位应当配合医疗器械生产企业对有关医疗器械缺陷进行调查，并提供有关资料。</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第十一条</w:t>
            </w:r>
            <w:r w:rsidRPr="003E6D32">
              <w:rPr>
                <w:rFonts w:ascii="ˎ̥" w:eastAsia="宋体" w:hAnsi="ˎ̥" w:cs="Arial"/>
                <w:color w:val="000000"/>
                <w:sz w:val="21"/>
                <w:szCs w:val="21"/>
              </w:rPr>
              <w:t xml:space="preserve">　医疗器械生产企业应当按照规定及时将收集的医疗器械不良事件信息向食品药品监督管理部门报告，食品药品监督管理部门可以对医疗器械不良事件或者可能存在的缺陷进行分析和调查，医疗器械生产企业、经营企业、使用单位应当予以配合。</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lastRenderedPageBreak/>
              <w:t xml:space="preserve">　　</w:t>
            </w:r>
            <w:r w:rsidRPr="003E6D32">
              <w:rPr>
                <w:rFonts w:ascii="ˎ̥" w:eastAsia="宋体" w:hAnsi="ˎ̥" w:cs="Arial"/>
                <w:b/>
                <w:bCs/>
                <w:color w:val="000000"/>
                <w:sz w:val="21"/>
              </w:rPr>
              <w:t>第十二条</w:t>
            </w:r>
            <w:r w:rsidRPr="003E6D32">
              <w:rPr>
                <w:rFonts w:ascii="ˎ̥" w:eastAsia="宋体" w:hAnsi="ˎ̥" w:cs="Arial"/>
                <w:color w:val="000000"/>
                <w:sz w:val="21"/>
                <w:szCs w:val="21"/>
              </w:rPr>
              <w:t xml:space="preserve">　对存在缺陷的医疗器械产品进行评估的主要内容包括：</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（一）产品是否符合强制性标准、经注册或者备案的产品技术要求；</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（二）在使用医疗器械过程中是否发生过故障或者伤害；</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（三）在现有使用环境下是否会造成伤害，是否有科学文献、研究、相关试验或者验证能够解释伤害发生的原因；</w:t>
            </w:r>
            <w:r w:rsidRPr="003E6D32">
              <w:rPr>
                <w:rFonts w:ascii="ˎ̥" w:eastAsia="宋体" w:hAnsi="ˎ̥" w:cs="Arial"/>
                <w:color w:val="000000"/>
                <w:sz w:val="18"/>
                <w:szCs w:val="18"/>
              </w:rPr>
              <w:br/>
            </w:r>
            <w:r w:rsidRPr="003E6D32">
              <w:rPr>
                <w:rFonts w:ascii="ˎ̥" w:eastAsia="宋体" w:hAnsi="ˎ̥" w:cs="Arial"/>
                <w:color w:val="000000"/>
                <w:sz w:val="21"/>
                <w:szCs w:val="21"/>
              </w:rPr>
              <w:t xml:space="preserve">　　（四）伤害所涉及的地区范围和人群特点；</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（五）对人体健康造成的伤害程度；</w:t>
            </w:r>
            <w:r w:rsidRPr="003E6D32">
              <w:rPr>
                <w:rFonts w:ascii="ˎ̥" w:eastAsia="宋体" w:hAnsi="ˎ̥" w:cs="Arial"/>
                <w:color w:val="000000"/>
                <w:sz w:val="18"/>
                <w:szCs w:val="18"/>
              </w:rPr>
              <w:br/>
            </w:r>
            <w:r w:rsidRPr="003E6D32">
              <w:rPr>
                <w:rFonts w:ascii="ˎ̥" w:eastAsia="宋体" w:hAnsi="ˎ̥" w:cs="Arial"/>
                <w:color w:val="000000"/>
                <w:sz w:val="21"/>
                <w:szCs w:val="21"/>
              </w:rPr>
              <w:t xml:space="preserve">　　（六）伤害发生的概率；</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（七）发生伤害的短期和长期后果；</w:t>
            </w:r>
            <w:r w:rsidRPr="003E6D32">
              <w:rPr>
                <w:rFonts w:ascii="ˎ̥" w:eastAsia="宋体" w:hAnsi="ˎ̥" w:cs="Arial"/>
                <w:color w:val="000000"/>
                <w:sz w:val="18"/>
                <w:szCs w:val="18"/>
              </w:rPr>
              <w:br/>
            </w:r>
            <w:r w:rsidRPr="003E6D32">
              <w:rPr>
                <w:rFonts w:ascii="ˎ̥" w:eastAsia="宋体" w:hAnsi="ˎ̥" w:cs="Arial"/>
                <w:color w:val="000000"/>
                <w:sz w:val="21"/>
                <w:szCs w:val="21"/>
              </w:rPr>
              <w:t xml:space="preserve">　　（八）其他可能对人体造成伤害的因素。</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第十三条</w:t>
            </w:r>
            <w:r w:rsidRPr="003E6D32">
              <w:rPr>
                <w:rFonts w:ascii="ˎ̥" w:eastAsia="宋体" w:hAnsi="ˎ̥" w:cs="Arial"/>
                <w:color w:val="000000"/>
                <w:sz w:val="21"/>
                <w:szCs w:val="21"/>
              </w:rPr>
              <w:t xml:space="preserve">　根据医疗器械缺陷的严重程度，医疗器械召回分为：</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（一）一级召回：使用该医疗器械可能或者已经引起严重健康危害的；</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（二）二级召回：使用该医疗器械可能或者已经引起暂时的或者可逆的健康危害的；</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（三）三级召回：使用该医疗器械引起危害的可能性较小但仍需要召回的。</w:t>
            </w:r>
            <w:r w:rsidRPr="003E6D32">
              <w:rPr>
                <w:rFonts w:ascii="ˎ̥" w:eastAsia="宋体" w:hAnsi="ˎ̥" w:cs="Arial"/>
                <w:color w:val="000000"/>
                <w:sz w:val="18"/>
                <w:szCs w:val="18"/>
              </w:rPr>
              <w:br/>
            </w:r>
            <w:r w:rsidRPr="003E6D32">
              <w:rPr>
                <w:rFonts w:ascii="ˎ̥" w:eastAsia="宋体" w:hAnsi="ˎ̥" w:cs="Arial"/>
                <w:color w:val="000000"/>
                <w:sz w:val="21"/>
                <w:szCs w:val="21"/>
              </w:rPr>
              <w:t xml:space="preserve">　　医疗器械生产企业应当根据具体情况确定召回级别并根据召回级别与医疗器械的销售和使用情况，科学设计召回计划并组织实施。</w:t>
            </w:r>
          </w:p>
          <w:p w:rsidR="003E6D32" w:rsidRPr="003E6D32" w:rsidRDefault="003E6D32" w:rsidP="003E6D32">
            <w:pPr>
              <w:adjustRightInd/>
              <w:snapToGrid/>
              <w:spacing w:before="100" w:beforeAutospacing="1" w:after="100" w:afterAutospacing="1" w:line="480" w:lineRule="auto"/>
              <w:jc w:val="center"/>
              <w:rPr>
                <w:rFonts w:ascii="ˎ̥" w:eastAsia="宋体" w:hAnsi="ˎ̥" w:cs="Arial"/>
                <w:color w:val="000000"/>
                <w:sz w:val="21"/>
                <w:szCs w:val="21"/>
              </w:rPr>
            </w:pPr>
            <w:r w:rsidRPr="003E6D32">
              <w:rPr>
                <w:rFonts w:ascii="ˎ̥" w:eastAsia="宋体" w:hAnsi="ˎ̥" w:cs="Arial"/>
                <w:b/>
                <w:bCs/>
                <w:color w:val="000000"/>
                <w:sz w:val="21"/>
              </w:rPr>
              <w:t>第三章　主动召回</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第十四条</w:t>
            </w:r>
            <w:r w:rsidRPr="003E6D32">
              <w:rPr>
                <w:rFonts w:ascii="ˎ̥" w:eastAsia="宋体" w:hAnsi="ˎ̥" w:cs="Arial"/>
                <w:color w:val="000000"/>
                <w:sz w:val="21"/>
                <w:szCs w:val="21"/>
              </w:rPr>
              <w:t xml:space="preserve">　医疗器械生产企业按照本办法第十条、第十二条的要求进行调查评估后，确定医疗器械产品存在缺陷的，应当立即决定并实施召回，同时向社会发布产品召回信息。</w:t>
            </w:r>
            <w:r w:rsidRPr="003E6D32">
              <w:rPr>
                <w:rFonts w:ascii="ˎ̥" w:eastAsia="宋体" w:hAnsi="ˎ̥" w:cs="Arial"/>
                <w:color w:val="000000"/>
                <w:sz w:val="18"/>
                <w:szCs w:val="18"/>
              </w:rPr>
              <w:br/>
            </w:r>
            <w:r w:rsidRPr="003E6D32">
              <w:rPr>
                <w:rFonts w:ascii="ˎ̥" w:eastAsia="宋体" w:hAnsi="ˎ̥" w:cs="Arial"/>
                <w:color w:val="000000"/>
                <w:sz w:val="21"/>
                <w:szCs w:val="21"/>
              </w:rPr>
              <w:t xml:space="preserve">　　实施一级召回的，医疗器械召回公告应当在国家食品药品监督管理总局网站和中央主要媒体上发布；实施二级、三级召回的，医疗器械召回公告应当在省、自治区、直辖市食品药品监督管理部门网站发布，省、自治区、直辖市食品药品监督管理部门网站发布的召</w:t>
            </w:r>
            <w:r w:rsidRPr="003E6D32">
              <w:rPr>
                <w:rFonts w:ascii="ˎ̥" w:eastAsia="宋体" w:hAnsi="ˎ̥" w:cs="Arial"/>
                <w:color w:val="000000"/>
                <w:sz w:val="21"/>
                <w:szCs w:val="21"/>
              </w:rPr>
              <w:lastRenderedPageBreak/>
              <w:t>回公告应当与国家食品药品监督管理总局网站链接。</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第十五条</w:t>
            </w:r>
            <w:r w:rsidRPr="003E6D32">
              <w:rPr>
                <w:rFonts w:ascii="ˎ̥" w:eastAsia="宋体" w:hAnsi="ˎ̥" w:cs="Arial"/>
                <w:color w:val="000000"/>
                <w:sz w:val="21"/>
                <w:szCs w:val="21"/>
              </w:rPr>
              <w:t xml:space="preserve">　医疗器械生产企业作出医疗器械召回决定的，一级召回应当在</w:t>
            </w:r>
            <w:r w:rsidRPr="003E6D32">
              <w:rPr>
                <w:rFonts w:ascii="ˎ̥" w:eastAsia="宋体" w:hAnsi="ˎ̥" w:cs="Arial"/>
                <w:color w:val="000000"/>
                <w:sz w:val="21"/>
                <w:szCs w:val="21"/>
              </w:rPr>
              <w:t>1</w:t>
            </w:r>
            <w:r w:rsidRPr="003E6D32">
              <w:rPr>
                <w:rFonts w:ascii="ˎ̥" w:eastAsia="宋体" w:hAnsi="ˎ̥" w:cs="Arial"/>
                <w:color w:val="000000"/>
                <w:sz w:val="21"/>
                <w:szCs w:val="21"/>
              </w:rPr>
              <w:t>日内，二级召回应当在</w:t>
            </w:r>
            <w:r w:rsidRPr="003E6D32">
              <w:rPr>
                <w:rFonts w:ascii="ˎ̥" w:eastAsia="宋体" w:hAnsi="ˎ̥" w:cs="Arial"/>
                <w:color w:val="000000"/>
                <w:sz w:val="21"/>
                <w:szCs w:val="21"/>
              </w:rPr>
              <w:t>3</w:t>
            </w:r>
            <w:r w:rsidRPr="003E6D32">
              <w:rPr>
                <w:rFonts w:ascii="ˎ̥" w:eastAsia="宋体" w:hAnsi="ˎ̥" w:cs="Arial"/>
                <w:color w:val="000000"/>
                <w:sz w:val="21"/>
                <w:szCs w:val="21"/>
              </w:rPr>
              <w:t>日内，三级召回应当在</w:t>
            </w:r>
            <w:r w:rsidRPr="003E6D32">
              <w:rPr>
                <w:rFonts w:ascii="ˎ̥" w:eastAsia="宋体" w:hAnsi="ˎ̥" w:cs="Arial"/>
                <w:color w:val="000000"/>
                <w:sz w:val="21"/>
                <w:szCs w:val="21"/>
              </w:rPr>
              <w:t>7</w:t>
            </w:r>
            <w:r w:rsidRPr="003E6D32">
              <w:rPr>
                <w:rFonts w:ascii="ˎ̥" w:eastAsia="宋体" w:hAnsi="ˎ̥" w:cs="Arial"/>
                <w:color w:val="000000"/>
                <w:sz w:val="21"/>
                <w:szCs w:val="21"/>
              </w:rPr>
              <w:t>日内，通知到有关医疗器械经营企业、使用单位或者告知使用者。</w:t>
            </w:r>
            <w:r w:rsidRPr="003E6D32">
              <w:rPr>
                <w:rFonts w:ascii="ˎ̥" w:eastAsia="宋体" w:hAnsi="ˎ̥" w:cs="Arial"/>
                <w:color w:val="000000"/>
                <w:sz w:val="18"/>
                <w:szCs w:val="18"/>
              </w:rPr>
              <w:br/>
            </w:r>
            <w:r w:rsidRPr="003E6D32">
              <w:rPr>
                <w:rFonts w:ascii="ˎ̥" w:eastAsia="宋体" w:hAnsi="ˎ̥" w:cs="Arial"/>
                <w:color w:val="000000"/>
                <w:sz w:val="21"/>
                <w:szCs w:val="21"/>
              </w:rPr>
              <w:t xml:space="preserve">　　召回通知应当包括以下内容：</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（一）召回医疗器械名称、型号规格、批次等基本信息；</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（二）召回的原因；</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（三）召回的要求，如立即暂停销售和使用该产品、将召回通知转发到相关经营企业或者使用单位等；</w:t>
            </w:r>
            <w:r w:rsidRPr="003E6D32">
              <w:rPr>
                <w:rFonts w:ascii="ˎ̥" w:eastAsia="宋体" w:hAnsi="ˎ̥" w:cs="Arial"/>
                <w:color w:val="000000"/>
                <w:sz w:val="18"/>
                <w:szCs w:val="18"/>
              </w:rPr>
              <w:br/>
            </w:r>
            <w:r w:rsidRPr="003E6D32">
              <w:rPr>
                <w:rFonts w:ascii="ˎ̥" w:eastAsia="宋体" w:hAnsi="ˎ̥" w:cs="Arial"/>
                <w:color w:val="000000"/>
                <w:sz w:val="21"/>
                <w:szCs w:val="21"/>
              </w:rPr>
              <w:t xml:space="preserve">　　（四）召回医疗器械的处理方式。</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第十六条</w:t>
            </w:r>
            <w:r w:rsidRPr="003E6D32">
              <w:rPr>
                <w:rFonts w:ascii="ˎ̥" w:eastAsia="宋体" w:hAnsi="ˎ̥" w:cs="Arial"/>
                <w:color w:val="000000"/>
                <w:sz w:val="21"/>
                <w:szCs w:val="21"/>
              </w:rPr>
              <w:t xml:space="preserve">　医疗器械生产企业作出医疗器械召回决定的，应当立即向所在地省、自治区、直辖市食品药品监督管理部门和批准该产品注册或者办理备案的食品药品监督管理部门提交医疗器械召回事件报告表，并在</w:t>
            </w:r>
            <w:r w:rsidRPr="003E6D32">
              <w:rPr>
                <w:rFonts w:ascii="ˎ̥" w:eastAsia="宋体" w:hAnsi="ˎ̥" w:cs="Arial"/>
                <w:color w:val="000000"/>
                <w:sz w:val="21"/>
                <w:szCs w:val="21"/>
              </w:rPr>
              <w:t>5</w:t>
            </w:r>
            <w:r w:rsidRPr="003E6D32">
              <w:rPr>
                <w:rFonts w:ascii="ˎ̥" w:eastAsia="宋体" w:hAnsi="ˎ̥" w:cs="Arial"/>
                <w:color w:val="000000"/>
                <w:sz w:val="21"/>
                <w:szCs w:val="21"/>
              </w:rPr>
              <w:t>个工作日内将调查评估报告和召回计划提交至所在地省、自治区、直辖市食品药品监督管理部门和批准注册或者办理备案的食品药品监督管理部门备案。</w:t>
            </w:r>
            <w:r w:rsidRPr="003E6D32">
              <w:rPr>
                <w:rFonts w:ascii="ˎ̥" w:eastAsia="宋体" w:hAnsi="ˎ̥" w:cs="Arial"/>
                <w:color w:val="000000"/>
                <w:sz w:val="18"/>
                <w:szCs w:val="18"/>
              </w:rPr>
              <w:br/>
            </w:r>
            <w:r w:rsidRPr="003E6D32">
              <w:rPr>
                <w:rFonts w:ascii="ˎ̥" w:eastAsia="宋体" w:hAnsi="ˎ̥" w:cs="Arial"/>
                <w:color w:val="000000"/>
                <w:sz w:val="21"/>
                <w:szCs w:val="21"/>
              </w:rPr>
              <w:t xml:space="preserve">　　医疗器械生产企业所在地省、自治区、直辖市食品药品监督管理部门应当在收到召回事件报告表</w:t>
            </w:r>
            <w:r w:rsidRPr="003E6D32">
              <w:rPr>
                <w:rFonts w:ascii="ˎ̥" w:eastAsia="宋体" w:hAnsi="ˎ̥" w:cs="Arial"/>
                <w:color w:val="000000"/>
                <w:sz w:val="21"/>
                <w:szCs w:val="21"/>
              </w:rPr>
              <w:t>1</w:t>
            </w:r>
            <w:r w:rsidRPr="003E6D32">
              <w:rPr>
                <w:rFonts w:ascii="ˎ̥" w:eastAsia="宋体" w:hAnsi="ˎ̥" w:cs="Arial"/>
                <w:color w:val="000000"/>
                <w:sz w:val="21"/>
                <w:szCs w:val="21"/>
              </w:rPr>
              <w:t>个工作日内将召回的有关情况报告国家食品药品监督管理总局。</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第十七条</w:t>
            </w:r>
            <w:r w:rsidRPr="003E6D32">
              <w:rPr>
                <w:rFonts w:ascii="ˎ̥" w:eastAsia="宋体" w:hAnsi="ˎ̥" w:cs="Arial"/>
                <w:color w:val="000000"/>
                <w:sz w:val="21"/>
                <w:szCs w:val="21"/>
              </w:rPr>
              <w:t xml:space="preserve">　调查评估报告应当包括以下内容：</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（一）召回医疗器械的具体情况，包括名称、型号规格、批次等基本信息；</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（二）实施召回的原因；</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（三）调查评估结果；</w:t>
            </w:r>
            <w:r w:rsidRPr="003E6D32">
              <w:rPr>
                <w:rFonts w:ascii="ˎ̥" w:eastAsia="宋体" w:hAnsi="ˎ̥" w:cs="Arial"/>
                <w:color w:val="000000"/>
                <w:sz w:val="18"/>
                <w:szCs w:val="18"/>
              </w:rPr>
              <w:br/>
            </w:r>
            <w:r w:rsidRPr="003E6D32">
              <w:rPr>
                <w:rFonts w:ascii="ˎ̥" w:eastAsia="宋体" w:hAnsi="ˎ̥" w:cs="Arial"/>
                <w:color w:val="000000"/>
                <w:sz w:val="21"/>
                <w:szCs w:val="21"/>
              </w:rPr>
              <w:t xml:space="preserve">　　（四）召回分级。</w:t>
            </w:r>
            <w:r w:rsidRPr="003E6D32">
              <w:rPr>
                <w:rFonts w:ascii="ˎ̥" w:eastAsia="宋体" w:hAnsi="ˎ̥" w:cs="Arial"/>
                <w:color w:val="000000"/>
                <w:sz w:val="18"/>
                <w:szCs w:val="18"/>
              </w:rPr>
              <w:br/>
            </w:r>
            <w:r w:rsidRPr="003E6D32">
              <w:rPr>
                <w:rFonts w:ascii="ˎ̥" w:eastAsia="宋体" w:hAnsi="ˎ̥" w:cs="Arial"/>
                <w:color w:val="000000"/>
                <w:sz w:val="21"/>
                <w:szCs w:val="21"/>
              </w:rPr>
              <w:t xml:space="preserve">　　召回计划应当包括以下内容：</w:t>
            </w:r>
            <w:r w:rsidRPr="003E6D32">
              <w:rPr>
                <w:rFonts w:ascii="ˎ̥" w:eastAsia="宋体" w:hAnsi="ˎ̥" w:cs="Arial"/>
                <w:color w:val="000000"/>
                <w:sz w:val="18"/>
                <w:szCs w:val="18"/>
              </w:rPr>
              <w:br/>
            </w:r>
            <w:r w:rsidRPr="003E6D32">
              <w:rPr>
                <w:rFonts w:ascii="ˎ̥" w:eastAsia="宋体" w:hAnsi="ˎ̥" w:cs="Arial"/>
                <w:color w:val="000000"/>
                <w:sz w:val="21"/>
                <w:szCs w:val="21"/>
              </w:rPr>
              <w:lastRenderedPageBreak/>
              <w:t xml:space="preserve">　　（一）医疗器械生产销售情况及拟召回的数量；</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（二）召回措施的具体内容，包括实施的组织、范围和时限等；</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（三）召回信息的公布途径与范围；</w:t>
            </w:r>
            <w:r w:rsidRPr="003E6D32">
              <w:rPr>
                <w:rFonts w:ascii="ˎ̥" w:eastAsia="宋体" w:hAnsi="ˎ̥" w:cs="Arial"/>
                <w:color w:val="000000"/>
                <w:sz w:val="18"/>
                <w:szCs w:val="18"/>
              </w:rPr>
              <w:br/>
            </w:r>
            <w:r w:rsidRPr="003E6D32">
              <w:rPr>
                <w:rFonts w:ascii="ˎ̥" w:eastAsia="宋体" w:hAnsi="ˎ̥" w:cs="Arial"/>
                <w:color w:val="000000"/>
                <w:sz w:val="21"/>
                <w:szCs w:val="21"/>
              </w:rPr>
              <w:t xml:space="preserve">　　（四）召回的预期效果；</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（五）医疗器械召回后的处理措施。</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第十八条</w:t>
            </w:r>
            <w:r w:rsidRPr="003E6D32">
              <w:rPr>
                <w:rFonts w:ascii="ˎ̥" w:eastAsia="宋体" w:hAnsi="ˎ̥" w:cs="Arial"/>
                <w:color w:val="000000"/>
                <w:sz w:val="21"/>
                <w:szCs w:val="21"/>
              </w:rPr>
              <w:t xml:space="preserve">　医疗器械生产企业所在地省、自治区、直辖市食品药品监督管理部门可以对生产企业提交的召回计划进行评估，认为生产企业所采取的措施不能有效消除产品缺陷或者控制产品风险的，应当书面要求其采取提高召回等级、扩大召回范围、缩短召回时间或者改变召回产品的处理方式等更为有效的措施进行处理。医疗器械生产企业应当按照食品药品监督管理部门的要求修改召回计划并组织实施。</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第十九条</w:t>
            </w:r>
            <w:r w:rsidRPr="003E6D32">
              <w:rPr>
                <w:rFonts w:ascii="ˎ̥" w:eastAsia="宋体" w:hAnsi="ˎ̥" w:cs="Arial"/>
                <w:color w:val="000000"/>
                <w:sz w:val="21"/>
                <w:szCs w:val="21"/>
              </w:rPr>
              <w:t xml:space="preserve">　医疗器械生产企业对上报的召回计划进行变更的，应当及时报所在地省、自治区、直辖市食品药品监督管理部门备案。</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第二十条</w:t>
            </w:r>
            <w:r w:rsidRPr="003E6D32">
              <w:rPr>
                <w:rFonts w:ascii="ˎ̥" w:eastAsia="宋体" w:hAnsi="ˎ̥" w:cs="Arial"/>
                <w:color w:val="000000"/>
                <w:sz w:val="21"/>
                <w:szCs w:val="21"/>
              </w:rPr>
              <w:t xml:space="preserve">　医疗器械生产企业在实施召回的过程中，应当根据召回计划定期向所在地省、自治区、直辖市食品药品监督管理部门提交召回计划实施情况报告。</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第二十一条</w:t>
            </w:r>
            <w:r w:rsidRPr="003E6D32">
              <w:rPr>
                <w:rFonts w:ascii="ˎ̥" w:eastAsia="宋体" w:hAnsi="ˎ̥" w:cs="Arial"/>
                <w:color w:val="000000"/>
                <w:sz w:val="21"/>
                <w:szCs w:val="21"/>
              </w:rPr>
              <w:t xml:space="preserve">　医疗器械生产企业对召回医疗器械的处理应当有详细的记录，并向医疗器械生产企业所在地省、自治区、直辖市食品药品监督管理部门报告，记录应当保存至医疗器械注册证失效后</w:t>
            </w:r>
            <w:r w:rsidRPr="003E6D32">
              <w:rPr>
                <w:rFonts w:ascii="ˎ̥" w:eastAsia="宋体" w:hAnsi="ˎ̥" w:cs="Arial"/>
                <w:color w:val="000000"/>
                <w:sz w:val="21"/>
                <w:szCs w:val="21"/>
              </w:rPr>
              <w:t>5</w:t>
            </w:r>
            <w:r w:rsidRPr="003E6D32">
              <w:rPr>
                <w:rFonts w:ascii="ˎ̥" w:eastAsia="宋体" w:hAnsi="ˎ̥" w:cs="Arial"/>
                <w:color w:val="000000"/>
                <w:sz w:val="21"/>
                <w:szCs w:val="21"/>
              </w:rPr>
              <w:t>年，第一类医疗器械召回的处理记录应当保存</w:t>
            </w:r>
            <w:r w:rsidRPr="003E6D32">
              <w:rPr>
                <w:rFonts w:ascii="ˎ̥" w:eastAsia="宋体" w:hAnsi="ˎ̥" w:cs="Arial"/>
                <w:color w:val="000000"/>
                <w:sz w:val="21"/>
                <w:szCs w:val="21"/>
              </w:rPr>
              <w:t>5</w:t>
            </w:r>
            <w:r w:rsidRPr="003E6D32">
              <w:rPr>
                <w:rFonts w:ascii="ˎ̥" w:eastAsia="宋体" w:hAnsi="ˎ̥" w:cs="Arial"/>
                <w:color w:val="000000"/>
                <w:sz w:val="21"/>
                <w:szCs w:val="21"/>
              </w:rPr>
              <w:t>年。对通过警示、检查、修理、重新标签、修改并完善说明书、软件更新、替换、销毁等方式能够消除产品缺陷的，可以在产品所在地完成上述行为。需要销毁的，应当在食品药品监督管理部门监督下销毁。</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第二十二条</w:t>
            </w:r>
            <w:r w:rsidRPr="003E6D32">
              <w:rPr>
                <w:rFonts w:ascii="ˎ̥" w:eastAsia="宋体" w:hAnsi="ˎ̥" w:cs="Arial"/>
                <w:color w:val="000000"/>
                <w:sz w:val="21"/>
                <w:szCs w:val="21"/>
              </w:rPr>
              <w:t xml:space="preserve">　医疗器械生产企业应当在召回完成后</w:t>
            </w:r>
            <w:r w:rsidRPr="003E6D32">
              <w:rPr>
                <w:rFonts w:ascii="ˎ̥" w:eastAsia="宋体" w:hAnsi="ˎ̥" w:cs="Arial"/>
                <w:color w:val="000000"/>
                <w:sz w:val="21"/>
                <w:szCs w:val="21"/>
              </w:rPr>
              <w:t>10</w:t>
            </w:r>
            <w:r w:rsidRPr="003E6D32">
              <w:rPr>
                <w:rFonts w:ascii="ˎ̥" w:eastAsia="宋体" w:hAnsi="ˎ̥" w:cs="Arial"/>
                <w:color w:val="000000"/>
                <w:sz w:val="21"/>
                <w:szCs w:val="21"/>
              </w:rPr>
              <w:t>个工作日内对召回效果进行评估，并向所在地省、自治区、直辖市食品药品监督管理部门提交医疗器械召回总结评估报</w:t>
            </w:r>
            <w:r w:rsidRPr="003E6D32">
              <w:rPr>
                <w:rFonts w:ascii="ˎ̥" w:eastAsia="宋体" w:hAnsi="ˎ̥" w:cs="Arial"/>
                <w:color w:val="000000"/>
                <w:sz w:val="21"/>
                <w:szCs w:val="21"/>
              </w:rPr>
              <w:lastRenderedPageBreak/>
              <w:t>告。</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第二十三条</w:t>
            </w:r>
            <w:r w:rsidRPr="003E6D32">
              <w:rPr>
                <w:rFonts w:ascii="ˎ̥" w:eastAsia="宋体" w:hAnsi="ˎ̥" w:cs="Arial"/>
                <w:color w:val="000000"/>
                <w:sz w:val="21"/>
                <w:szCs w:val="21"/>
              </w:rPr>
              <w:t xml:space="preserve">　医疗器械生产企业所在地省、自治区、直辖市食品药品监督管理部门应当自收到总结评估报告之日起</w:t>
            </w:r>
            <w:r w:rsidRPr="003E6D32">
              <w:rPr>
                <w:rFonts w:ascii="ˎ̥" w:eastAsia="宋体" w:hAnsi="ˎ̥" w:cs="Arial"/>
                <w:color w:val="000000"/>
                <w:sz w:val="21"/>
                <w:szCs w:val="21"/>
              </w:rPr>
              <w:t>10</w:t>
            </w:r>
            <w:r w:rsidRPr="003E6D32">
              <w:rPr>
                <w:rFonts w:ascii="ˎ̥" w:eastAsia="宋体" w:hAnsi="ˎ̥" w:cs="Arial"/>
                <w:color w:val="000000"/>
                <w:sz w:val="21"/>
                <w:szCs w:val="21"/>
              </w:rPr>
              <w:t>个工作日内对报告进行审查，并对召回效果进行评估；认为召回尚未有效消除产品缺陷或者控制产品风险的，应当书面要求生产企业重新召回。医疗器械生产企业应当按照食品药品监督管理部门的要求进行重新召回。</w:t>
            </w:r>
          </w:p>
          <w:p w:rsidR="003E6D32" w:rsidRPr="003E6D32" w:rsidRDefault="003E6D32" w:rsidP="003E6D32">
            <w:pPr>
              <w:adjustRightInd/>
              <w:snapToGrid/>
              <w:spacing w:before="100" w:beforeAutospacing="1" w:after="100" w:afterAutospacing="1" w:line="480" w:lineRule="auto"/>
              <w:jc w:val="center"/>
              <w:rPr>
                <w:rFonts w:ascii="ˎ̥" w:eastAsia="宋体" w:hAnsi="ˎ̥" w:cs="Arial"/>
                <w:color w:val="000000"/>
                <w:sz w:val="21"/>
                <w:szCs w:val="21"/>
              </w:rPr>
            </w:pPr>
            <w:r w:rsidRPr="003E6D32">
              <w:rPr>
                <w:rFonts w:ascii="ˎ̥" w:eastAsia="宋体" w:hAnsi="ˎ̥" w:cs="Arial"/>
                <w:b/>
                <w:bCs/>
                <w:color w:val="000000"/>
                <w:sz w:val="21"/>
              </w:rPr>
              <w:t>第四章　责令召回</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第二十四条</w:t>
            </w:r>
            <w:r w:rsidRPr="003E6D32">
              <w:rPr>
                <w:rFonts w:ascii="ˎ̥" w:eastAsia="宋体" w:hAnsi="ˎ̥" w:cs="Arial"/>
                <w:color w:val="000000"/>
                <w:sz w:val="21"/>
                <w:szCs w:val="21"/>
              </w:rPr>
              <w:t xml:space="preserve">　食品药品监督管理部门经过调查评估，认为医疗器械生产企业应当召回存在缺陷的医疗器械产品而未主动召回的，应当责令医疗器械生产企业召回医疗器械。</w:t>
            </w:r>
            <w:r w:rsidRPr="003E6D32">
              <w:rPr>
                <w:rFonts w:ascii="ˎ̥" w:eastAsia="宋体" w:hAnsi="ˎ̥" w:cs="Arial"/>
                <w:color w:val="000000"/>
                <w:sz w:val="18"/>
                <w:szCs w:val="18"/>
              </w:rPr>
              <w:br/>
            </w:r>
            <w:r w:rsidRPr="003E6D32">
              <w:rPr>
                <w:rFonts w:ascii="ˎ̥" w:eastAsia="宋体" w:hAnsi="ˎ̥" w:cs="Arial"/>
                <w:color w:val="000000"/>
                <w:sz w:val="21"/>
                <w:szCs w:val="21"/>
              </w:rPr>
              <w:t xml:space="preserve">　　责令召回的决定可以由医疗器械生产企业所在地省、自治区、直辖市食品药品监督管理部门作出，也可以由批准该医疗器械注册或者办理备案的食品药品监督管理部门作出。作出该决定的食品药品监督管理部门，应当在其网站向社会公布责令召回信息。</w:t>
            </w:r>
            <w:r w:rsidRPr="003E6D32">
              <w:rPr>
                <w:rFonts w:ascii="ˎ̥" w:eastAsia="宋体" w:hAnsi="ˎ̥" w:cs="Arial"/>
                <w:color w:val="000000"/>
                <w:sz w:val="18"/>
                <w:szCs w:val="18"/>
              </w:rPr>
              <w:br/>
            </w:r>
            <w:r w:rsidRPr="003E6D32">
              <w:rPr>
                <w:rFonts w:ascii="ˎ̥" w:eastAsia="宋体" w:hAnsi="ˎ̥" w:cs="Arial"/>
                <w:color w:val="000000"/>
                <w:sz w:val="21"/>
                <w:szCs w:val="21"/>
              </w:rPr>
              <w:t xml:space="preserve">　　医疗器械生产企业应当按照食品药品监督管理部门的要求进行召回，并按本办法第十四条第二款的规定向社会公布产品召回信息。</w:t>
            </w:r>
            <w:r w:rsidRPr="003E6D32">
              <w:rPr>
                <w:rFonts w:ascii="ˎ̥" w:eastAsia="宋体" w:hAnsi="ˎ̥" w:cs="Arial"/>
                <w:color w:val="000000"/>
                <w:sz w:val="18"/>
                <w:szCs w:val="18"/>
              </w:rPr>
              <w:br/>
            </w:r>
            <w:r w:rsidRPr="003E6D32">
              <w:rPr>
                <w:rFonts w:ascii="ˎ̥" w:eastAsia="宋体" w:hAnsi="ˎ̥" w:cs="Arial"/>
                <w:color w:val="000000"/>
                <w:sz w:val="21"/>
                <w:szCs w:val="21"/>
              </w:rPr>
              <w:t xml:space="preserve">　　必要时，食品药品监督管理部门可以要求医疗器械生产企业、经营企业和使用单位立即暂停生产、销售和使用，并告知使用者立即暂停使用该缺陷产品。</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第二十五条</w:t>
            </w:r>
            <w:r w:rsidRPr="003E6D32">
              <w:rPr>
                <w:rFonts w:ascii="ˎ̥" w:eastAsia="宋体" w:hAnsi="ˎ̥" w:cs="Arial"/>
                <w:color w:val="000000"/>
                <w:sz w:val="21"/>
                <w:szCs w:val="21"/>
              </w:rPr>
              <w:t xml:space="preserve">　食品药品监督管理部门作出责令召回决定，应当将责令召回通知书送达医疗器械生产企业，通知书包括以下内容：</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（一）召回医疗器械的具体情况，包括名称、型号规格、批次等基本信息；</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（二）实施召回的原因；</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（三）调查评估结果；</w:t>
            </w:r>
            <w:r w:rsidRPr="003E6D32">
              <w:rPr>
                <w:rFonts w:ascii="ˎ̥" w:eastAsia="宋体" w:hAnsi="ˎ̥" w:cs="Arial"/>
                <w:color w:val="000000"/>
                <w:sz w:val="18"/>
                <w:szCs w:val="18"/>
              </w:rPr>
              <w:br/>
            </w:r>
            <w:r w:rsidRPr="003E6D32">
              <w:rPr>
                <w:rFonts w:ascii="ˎ̥" w:eastAsia="宋体" w:hAnsi="ˎ̥" w:cs="Arial"/>
                <w:color w:val="000000"/>
                <w:sz w:val="21"/>
                <w:szCs w:val="21"/>
              </w:rPr>
              <w:t xml:space="preserve">　　（四）召回要求，包括范围和时限等。</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第二十六条</w:t>
            </w:r>
            <w:r w:rsidRPr="003E6D32">
              <w:rPr>
                <w:rFonts w:ascii="ˎ̥" w:eastAsia="宋体" w:hAnsi="ˎ̥" w:cs="Arial"/>
                <w:color w:val="000000"/>
                <w:sz w:val="21"/>
                <w:szCs w:val="21"/>
              </w:rPr>
              <w:t xml:space="preserve">　医疗器械生产企业收到责令召回通知书后，应当按照本办法第十五条、</w:t>
            </w:r>
            <w:r w:rsidRPr="003E6D32">
              <w:rPr>
                <w:rFonts w:ascii="ˎ̥" w:eastAsia="宋体" w:hAnsi="ˎ̥" w:cs="Arial"/>
                <w:color w:val="000000"/>
                <w:sz w:val="21"/>
                <w:szCs w:val="21"/>
              </w:rPr>
              <w:lastRenderedPageBreak/>
              <w:t>第十六条的规定通知医疗器械经营企业和使用单位或者告知使用者，制定、提交召回计划，并组织实施。</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第二十七条</w:t>
            </w:r>
            <w:r w:rsidRPr="003E6D32">
              <w:rPr>
                <w:rFonts w:ascii="ˎ̥" w:eastAsia="宋体" w:hAnsi="ˎ̥" w:cs="Arial"/>
                <w:color w:val="000000"/>
                <w:sz w:val="21"/>
                <w:szCs w:val="21"/>
              </w:rPr>
              <w:t xml:space="preserve">　医疗器械生产企业应当按照本办法第十九条、第二十条、第二十一条、第二十二条的规定向食品药品监督管理部门报告医疗器械召回的相关情况，进行召回医疗器械的后续处理。</w:t>
            </w:r>
            <w:r w:rsidRPr="003E6D32">
              <w:rPr>
                <w:rFonts w:ascii="ˎ̥" w:eastAsia="宋体" w:hAnsi="ˎ̥" w:cs="Arial"/>
                <w:color w:val="000000"/>
                <w:sz w:val="18"/>
                <w:szCs w:val="18"/>
              </w:rPr>
              <w:br/>
            </w:r>
            <w:r w:rsidRPr="003E6D32">
              <w:rPr>
                <w:rFonts w:ascii="ˎ̥" w:eastAsia="宋体" w:hAnsi="ˎ̥" w:cs="Arial"/>
                <w:color w:val="000000"/>
                <w:sz w:val="21"/>
                <w:szCs w:val="21"/>
              </w:rPr>
              <w:t xml:space="preserve">　　食品药品监督管理部门应当按照本办法第二十三条的规定对医疗器械生产企业提交的医疗器械召回总结评估报告进行审查，并对召回效果进行评价，必要时通报同级卫生行政部门。经过审查和评价，认为召回不彻底、尚未有效消除产品缺陷或者控制产品风险的，食品药品监督管理部门应当书面要求医疗器械生产企业重新召回。医疗器械生产企业应当按照食品药品监督管理部门的要求进行重新召回。</w:t>
            </w:r>
          </w:p>
          <w:p w:rsidR="003E6D32" w:rsidRPr="003E6D32" w:rsidRDefault="003E6D32" w:rsidP="003E6D32">
            <w:pPr>
              <w:adjustRightInd/>
              <w:snapToGrid/>
              <w:spacing w:before="100" w:beforeAutospacing="1" w:after="100" w:afterAutospacing="1" w:line="480" w:lineRule="auto"/>
              <w:jc w:val="center"/>
              <w:rPr>
                <w:rFonts w:ascii="ˎ̥" w:eastAsia="宋体" w:hAnsi="ˎ̥" w:cs="Arial"/>
                <w:color w:val="000000"/>
                <w:sz w:val="21"/>
                <w:szCs w:val="21"/>
              </w:rPr>
            </w:pPr>
            <w:r w:rsidRPr="003E6D32">
              <w:rPr>
                <w:rFonts w:ascii="ˎ̥" w:eastAsia="宋体" w:hAnsi="ˎ̥" w:cs="Arial"/>
                <w:b/>
                <w:bCs/>
                <w:color w:val="000000"/>
                <w:sz w:val="21"/>
              </w:rPr>
              <w:t>第五章　法律责任</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第二十八条</w:t>
            </w:r>
            <w:r w:rsidRPr="003E6D32">
              <w:rPr>
                <w:rFonts w:ascii="ˎ̥" w:eastAsia="宋体" w:hAnsi="ˎ̥" w:cs="Arial"/>
                <w:color w:val="000000"/>
                <w:sz w:val="21"/>
                <w:szCs w:val="21"/>
              </w:rPr>
              <w:t xml:space="preserve">　医疗器械生产企业因违反法律、法规、规章规定造成上市医疗器械存在缺陷，依法应当给予行政处罚，但该企业已经采取召回措施主动消除或者减轻危害后果的，食品药品监督管理部门依照《中华人民共和国行政处罚法》的规定给予从轻或者减轻处罚；违法行为轻微并及时纠正，没有造成危害后果的，不予处罚。</w:t>
            </w:r>
            <w:r w:rsidRPr="003E6D32">
              <w:rPr>
                <w:rFonts w:ascii="ˎ̥" w:eastAsia="宋体" w:hAnsi="ˎ̥" w:cs="Arial"/>
                <w:color w:val="000000"/>
                <w:sz w:val="18"/>
                <w:szCs w:val="18"/>
              </w:rPr>
              <w:br/>
            </w:r>
            <w:r w:rsidRPr="003E6D32">
              <w:rPr>
                <w:rFonts w:ascii="ˎ̥" w:eastAsia="宋体" w:hAnsi="ˎ̥" w:cs="Arial"/>
                <w:color w:val="000000"/>
                <w:sz w:val="21"/>
                <w:szCs w:val="21"/>
              </w:rPr>
              <w:t xml:space="preserve">　　医疗器械生产企业召回医疗器械的，不免除其依法应当承担的其他法律责任。</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第二十九条</w:t>
            </w:r>
            <w:r w:rsidRPr="003E6D32">
              <w:rPr>
                <w:rFonts w:ascii="ˎ̥" w:eastAsia="宋体" w:hAnsi="ˎ̥" w:cs="Arial"/>
                <w:color w:val="000000"/>
                <w:sz w:val="21"/>
                <w:szCs w:val="21"/>
              </w:rPr>
              <w:t xml:space="preserve">　医疗器械生产企业违反本办法第二十四条规定，拒绝召回医疗器械的，依据《医疗器械监督管理条例》第六十六条的规定进行处理。</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第三十条</w:t>
            </w:r>
            <w:r w:rsidRPr="003E6D32">
              <w:rPr>
                <w:rFonts w:ascii="ˎ̥" w:eastAsia="宋体" w:hAnsi="ˎ̥" w:cs="Arial"/>
                <w:color w:val="000000"/>
                <w:sz w:val="21"/>
                <w:szCs w:val="21"/>
              </w:rPr>
              <w:t xml:space="preserve">　医疗器械生产企业有下列情形之一的，予以警告，责令限期改正，并处</w:t>
            </w:r>
            <w:r w:rsidRPr="003E6D32">
              <w:rPr>
                <w:rFonts w:ascii="ˎ̥" w:eastAsia="宋体" w:hAnsi="ˎ̥" w:cs="Arial"/>
                <w:color w:val="000000"/>
                <w:sz w:val="21"/>
                <w:szCs w:val="21"/>
              </w:rPr>
              <w:t>3</w:t>
            </w:r>
            <w:r w:rsidRPr="003E6D32">
              <w:rPr>
                <w:rFonts w:ascii="ˎ̥" w:eastAsia="宋体" w:hAnsi="ˎ̥" w:cs="Arial"/>
                <w:color w:val="000000"/>
                <w:sz w:val="21"/>
                <w:szCs w:val="21"/>
              </w:rPr>
              <w:t>万元以下罚款：</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（一）违反本办法第十四条规定，未按照要求及时向社会发布产品召回信息的；</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（二）违反本办法第十五条规定，未在规定时间内将召回医疗器械的决定通知到医疗</w:t>
            </w:r>
            <w:r w:rsidRPr="003E6D32">
              <w:rPr>
                <w:rFonts w:ascii="ˎ̥" w:eastAsia="宋体" w:hAnsi="ˎ̥" w:cs="Arial"/>
                <w:color w:val="000000"/>
                <w:sz w:val="21"/>
                <w:szCs w:val="21"/>
              </w:rPr>
              <w:lastRenderedPageBreak/>
              <w:t>器械经营企业、使用单位或者告知使用者的；</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（三）违反本办法第十八条、第二十三条、第二十七条第二款规定，未按照食品药品监督管理部门要求采取改正措施或者重新召回医疗器械的；</w:t>
            </w:r>
            <w:r w:rsidRPr="003E6D32">
              <w:rPr>
                <w:rFonts w:ascii="ˎ̥" w:eastAsia="宋体" w:hAnsi="ˎ̥" w:cs="Arial"/>
                <w:color w:val="000000"/>
                <w:sz w:val="18"/>
                <w:szCs w:val="18"/>
              </w:rPr>
              <w:br/>
            </w:r>
            <w:r w:rsidRPr="003E6D32">
              <w:rPr>
                <w:rFonts w:ascii="ˎ̥" w:eastAsia="宋体" w:hAnsi="ˎ̥" w:cs="Arial"/>
                <w:color w:val="000000"/>
                <w:sz w:val="21"/>
                <w:szCs w:val="21"/>
              </w:rPr>
              <w:t xml:space="preserve">　　（四）违反本办法第二十一条规定，未对召回医疗器械的处理作详细记录或者未向食品药品监督管理部门报告的。</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第三十一条</w:t>
            </w:r>
            <w:r w:rsidRPr="003E6D32">
              <w:rPr>
                <w:rFonts w:ascii="ˎ̥" w:eastAsia="宋体" w:hAnsi="ˎ̥" w:cs="Arial"/>
                <w:color w:val="000000"/>
                <w:sz w:val="21"/>
                <w:szCs w:val="21"/>
              </w:rPr>
              <w:t xml:space="preserve">　医疗器械生产企业有下列情形之一的，予以警告，责令限期改正；逾期未改正的，处</w:t>
            </w:r>
            <w:r w:rsidRPr="003E6D32">
              <w:rPr>
                <w:rFonts w:ascii="ˎ̥" w:eastAsia="宋体" w:hAnsi="ˎ̥" w:cs="Arial"/>
                <w:color w:val="000000"/>
                <w:sz w:val="21"/>
                <w:szCs w:val="21"/>
              </w:rPr>
              <w:t>3</w:t>
            </w:r>
            <w:r w:rsidRPr="003E6D32">
              <w:rPr>
                <w:rFonts w:ascii="ˎ̥" w:eastAsia="宋体" w:hAnsi="ˎ̥" w:cs="Arial"/>
                <w:color w:val="000000"/>
                <w:sz w:val="21"/>
                <w:szCs w:val="21"/>
              </w:rPr>
              <w:t>万元以下罚款：</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（一）未按照本办法规定建立医疗器械召回管理制度的；</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（二）拒绝配合食品药品监督管理部门开展调查的；</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（三）未按照本办法规定提交医疗器械召回事件报告表、调查评估报告和召回计划、医疗器械召回计划实施情况和总结评估报告的；</w:t>
            </w:r>
            <w:r w:rsidRPr="003E6D32">
              <w:rPr>
                <w:rFonts w:ascii="ˎ̥" w:eastAsia="宋体" w:hAnsi="ˎ̥" w:cs="Arial"/>
                <w:color w:val="000000"/>
                <w:sz w:val="18"/>
                <w:szCs w:val="18"/>
              </w:rPr>
              <w:br/>
            </w:r>
            <w:r w:rsidRPr="003E6D32">
              <w:rPr>
                <w:rFonts w:ascii="ˎ̥" w:eastAsia="宋体" w:hAnsi="ˎ̥" w:cs="Arial"/>
                <w:color w:val="000000"/>
                <w:sz w:val="21"/>
                <w:szCs w:val="21"/>
              </w:rPr>
              <w:t xml:space="preserve">　　（四）变更召回计划，未报食品药品监督管理部门备案的。</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第三十二条</w:t>
            </w:r>
            <w:r w:rsidRPr="003E6D32">
              <w:rPr>
                <w:rFonts w:ascii="ˎ̥" w:eastAsia="宋体" w:hAnsi="ˎ̥" w:cs="Arial"/>
                <w:color w:val="000000"/>
                <w:sz w:val="21"/>
                <w:szCs w:val="21"/>
              </w:rPr>
              <w:t xml:space="preserve">　医疗器械经营企业、使用单位违反本办法第七条第一款规定的，责令停止销售、使用存在缺陷的医疗器械，并处</w:t>
            </w:r>
            <w:r w:rsidRPr="003E6D32">
              <w:rPr>
                <w:rFonts w:ascii="ˎ̥" w:eastAsia="宋体" w:hAnsi="ˎ̥" w:cs="Arial"/>
                <w:color w:val="000000"/>
                <w:sz w:val="21"/>
                <w:szCs w:val="21"/>
              </w:rPr>
              <w:t>5000</w:t>
            </w:r>
            <w:r w:rsidRPr="003E6D32">
              <w:rPr>
                <w:rFonts w:ascii="ˎ̥" w:eastAsia="宋体" w:hAnsi="ˎ̥" w:cs="Arial"/>
                <w:color w:val="000000"/>
                <w:sz w:val="21"/>
                <w:szCs w:val="21"/>
              </w:rPr>
              <w:t>元以上</w:t>
            </w:r>
            <w:r w:rsidRPr="003E6D32">
              <w:rPr>
                <w:rFonts w:ascii="ˎ̥" w:eastAsia="宋体" w:hAnsi="ˎ̥" w:cs="Arial"/>
                <w:color w:val="000000"/>
                <w:sz w:val="21"/>
                <w:szCs w:val="21"/>
              </w:rPr>
              <w:t>3</w:t>
            </w:r>
            <w:r w:rsidRPr="003E6D32">
              <w:rPr>
                <w:rFonts w:ascii="ˎ̥" w:eastAsia="宋体" w:hAnsi="ˎ̥" w:cs="Arial"/>
                <w:color w:val="000000"/>
                <w:sz w:val="21"/>
                <w:szCs w:val="21"/>
              </w:rPr>
              <w:t>万元以下罚款；造成严重后果的，由原发证部门吊销《医疗器械经营许可证》。</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第三十三条</w:t>
            </w:r>
            <w:r w:rsidRPr="003E6D32">
              <w:rPr>
                <w:rFonts w:ascii="ˎ̥" w:eastAsia="宋体" w:hAnsi="ˎ̥" w:cs="Arial"/>
                <w:color w:val="000000"/>
                <w:sz w:val="21"/>
                <w:szCs w:val="21"/>
              </w:rPr>
              <w:t xml:space="preserve">　医疗器械经营企业、使用单位拒绝配合有关医疗器械缺陷调查、拒绝协助医疗器械生产企业召回医疗器械的，予以警告，责令限期改正；逾期拒不改正的，处</w:t>
            </w:r>
            <w:r w:rsidRPr="003E6D32">
              <w:rPr>
                <w:rFonts w:ascii="ˎ̥" w:eastAsia="宋体" w:hAnsi="ˎ̥" w:cs="Arial"/>
                <w:color w:val="000000"/>
                <w:sz w:val="21"/>
                <w:szCs w:val="21"/>
              </w:rPr>
              <w:t>3</w:t>
            </w:r>
            <w:r w:rsidRPr="003E6D32">
              <w:rPr>
                <w:rFonts w:ascii="ˎ̥" w:eastAsia="宋体" w:hAnsi="ˎ̥" w:cs="Arial"/>
                <w:color w:val="000000"/>
                <w:sz w:val="21"/>
                <w:szCs w:val="21"/>
              </w:rPr>
              <w:t>万元以下罚款。</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第三十四条</w:t>
            </w:r>
            <w:r w:rsidRPr="003E6D32">
              <w:rPr>
                <w:rFonts w:ascii="ˎ̥" w:eastAsia="宋体" w:hAnsi="ˎ̥" w:cs="Arial"/>
                <w:color w:val="000000"/>
                <w:sz w:val="21"/>
                <w:szCs w:val="21"/>
              </w:rPr>
              <w:t xml:space="preserve">　食品药品监督管理部门及其工作人员不履行医疗器械监督管理职责或者滥用职权、玩忽职守，有下列情形之一的，由监察机关或者任免机关根据情节轻重，对直接负责的主管人员和其他直接责任人员给予批评教育，或者依法给予警告、记过或者记大过的处分；造成严重后果的，给予降级、撤职或者开除的处分：</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（一）未按规定向社会发布召回信息的；</w:t>
            </w:r>
            <w:r w:rsidRPr="003E6D32">
              <w:rPr>
                <w:rFonts w:ascii="ˎ̥" w:eastAsia="宋体" w:hAnsi="ˎ̥" w:cs="Arial"/>
                <w:color w:val="000000"/>
                <w:sz w:val="18"/>
                <w:szCs w:val="18"/>
              </w:rPr>
              <w:br/>
            </w:r>
            <w:r w:rsidRPr="003E6D32">
              <w:rPr>
                <w:rFonts w:ascii="ˎ̥" w:eastAsia="宋体" w:hAnsi="ˎ̥" w:cs="Arial"/>
                <w:color w:val="000000"/>
                <w:sz w:val="21"/>
                <w:szCs w:val="21"/>
              </w:rPr>
              <w:lastRenderedPageBreak/>
              <w:t xml:space="preserve">　　（二）未按规定向相关部门报告或者通报有关召回信息的；</w:t>
            </w:r>
            <w:r w:rsidRPr="003E6D32">
              <w:rPr>
                <w:rFonts w:ascii="ˎ̥" w:eastAsia="宋体" w:hAnsi="ˎ̥" w:cs="Arial"/>
                <w:color w:val="000000"/>
                <w:sz w:val="18"/>
                <w:szCs w:val="18"/>
              </w:rPr>
              <w:br/>
            </w:r>
            <w:r w:rsidRPr="003E6D32">
              <w:rPr>
                <w:rFonts w:ascii="ˎ̥" w:eastAsia="宋体" w:hAnsi="ˎ̥" w:cs="Arial"/>
                <w:color w:val="000000"/>
                <w:sz w:val="21"/>
                <w:szCs w:val="21"/>
              </w:rPr>
              <w:t xml:space="preserve">　　（三）应当责令召回而未采取责令召回措施的；</w:t>
            </w:r>
            <w:r w:rsidRPr="003E6D32">
              <w:rPr>
                <w:rFonts w:ascii="ˎ̥" w:eastAsia="宋体" w:hAnsi="ˎ̥" w:cs="Arial"/>
                <w:color w:val="000000"/>
                <w:sz w:val="18"/>
                <w:szCs w:val="18"/>
              </w:rPr>
              <w:br/>
            </w:r>
            <w:r w:rsidRPr="003E6D32">
              <w:rPr>
                <w:rFonts w:ascii="ˎ̥" w:eastAsia="宋体" w:hAnsi="ˎ̥" w:cs="Arial"/>
                <w:color w:val="000000"/>
                <w:sz w:val="21"/>
                <w:szCs w:val="21"/>
              </w:rPr>
              <w:t xml:space="preserve">　　（四）违反本办法第二十三条和第二十七条第二款规定，未能督促医疗器械生产企业有效实施召回的。</w:t>
            </w:r>
          </w:p>
          <w:p w:rsidR="003E6D32" w:rsidRPr="003E6D32" w:rsidRDefault="003E6D32" w:rsidP="003E6D32">
            <w:pPr>
              <w:adjustRightInd/>
              <w:snapToGrid/>
              <w:spacing w:before="100" w:beforeAutospacing="1" w:after="100" w:afterAutospacing="1" w:line="480" w:lineRule="auto"/>
              <w:jc w:val="center"/>
              <w:rPr>
                <w:rFonts w:ascii="ˎ̥" w:eastAsia="宋体" w:hAnsi="ˎ̥" w:cs="Arial"/>
                <w:color w:val="000000"/>
                <w:sz w:val="21"/>
                <w:szCs w:val="21"/>
              </w:rPr>
            </w:pPr>
            <w:r w:rsidRPr="003E6D32">
              <w:rPr>
                <w:rFonts w:ascii="ˎ̥" w:eastAsia="宋体" w:hAnsi="ˎ̥" w:cs="Arial"/>
                <w:b/>
                <w:bCs/>
                <w:color w:val="000000"/>
                <w:sz w:val="21"/>
              </w:rPr>
              <w:t>第六章　附　则</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第三十五条</w:t>
            </w:r>
            <w:r w:rsidRPr="003E6D32">
              <w:rPr>
                <w:rFonts w:ascii="ˎ̥" w:eastAsia="宋体" w:hAnsi="ˎ̥" w:cs="Arial"/>
                <w:color w:val="000000"/>
                <w:sz w:val="21"/>
                <w:szCs w:val="21"/>
              </w:rPr>
              <w:t xml:space="preserve">　召回的医疗器械已经植入人体的，医疗器械生产企业应当与医疗机构和患者共同协商，根据召回的不同原因，提出对患者的处理意见和应当采取的预案措施。</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第三十六条</w:t>
            </w:r>
            <w:r w:rsidRPr="003E6D32">
              <w:rPr>
                <w:rFonts w:ascii="ˎ̥" w:eastAsia="宋体" w:hAnsi="ˎ̥" w:cs="Arial"/>
                <w:color w:val="000000"/>
                <w:sz w:val="21"/>
                <w:szCs w:val="21"/>
              </w:rPr>
              <w:t xml:space="preserve">　召回的医疗器械给患者造成损害的，患者可以向医疗器械生产企业要求赔偿，也可以向医疗器械经营企业、使用单位要求赔偿。患者向医疗器械经营企业、使用单位要求赔偿的，医疗器械经营企业、使用单位赔偿后，有权向负有责任的医疗器械生产企业追偿。</w:t>
            </w:r>
          </w:p>
          <w:p w:rsidR="003E6D32" w:rsidRPr="003E6D32" w:rsidRDefault="003E6D32" w:rsidP="003E6D32">
            <w:pPr>
              <w:adjustRightInd/>
              <w:snapToGrid/>
              <w:spacing w:before="100" w:beforeAutospacing="1" w:after="100" w:afterAutospacing="1" w:line="480" w:lineRule="auto"/>
              <w:rPr>
                <w:rFonts w:ascii="ˎ̥" w:eastAsia="宋体" w:hAnsi="ˎ̥" w:cs="Arial"/>
                <w:color w:val="000000"/>
                <w:sz w:val="21"/>
                <w:szCs w:val="21"/>
              </w:rPr>
            </w:pPr>
            <w:r w:rsidRPr="003E6D32">
              <w:rPr>
                <w:rFonts w:ascii="ˎ̥" w:eastAsia="宋体" w:hAnsi="ˎ̥" w:cs="Arial"/>
                <w:color w:val="000000"/>
                <w:sz w:val="21"/>
                <w:szCs w:val="21"/>
              </w:rPr>
              <w:t xml:space="preserve">　　</w:t>
            </w:r>
            <w:r w:rsidRPr="003E6D32">
              <w:rPr>
                <w:rFonts w:ascii="ˎ̥" w:eastAsia="宋体" w:hAnsi="ˎ̥" w:cs="Arial"/>
                <w:b/>
                <w:bCs/>
                <w:color w:val="000000"/>
                <w:sz w:val="21"/>
              </w:rPr>
              <w:t xml:space="preserve">第三十七条　</w:t>
            </w:r>
            <w:r w:rsidRPr="003E6D32">
              <w:rPr>
                <w:rFonts w:ascii="ˎ̥" w:eastAsia="宋体" w:hAnsi="ˎ̥" w:cs="Arial"/>
                <w:color w:val="000000"/>
                <w:sz w:val="21"/>
                <w:szCs w:val="21"/>
              </w:rPr>
              <w:t>本办法自</w:t>
            </w:r>
            <w:r w:rsidRPr="003E6D32">
              <w:rPr>
                <w:rFonts w:ascii="ˎ̥" w:eastAsia="宋体" w:hAnsi="ˎ̥" w:cs="Arial"/>
                <w:color w:val="000000"/>
                <w:sz w:val="21"/>
                <w:szCs w:val="21"/>
              </w:rPr>
              <w:t>2017</w:t>
            </w:r>
            <w:r w:rsidRPr="003E6D32">
              <w:rPr>
                <w:rFonts w:ascii="ˎ̥" w:eastAsia="宋体" w:hAnsi="ˎ̥" w:cs="Arial"/>
                <w:color w:val="000000"/>
                <w:sz w:val="21"/>
                <w:szCs w:val="21"/>
              </w:rPr>
              <w:t>年</w:t>
            </w:r>
            <w:r w:rsidRPr="003E6D32">
              <w:rPr>
                <w:rFonts w:ascii="ˎ̥" w:eastAsia="宋体" w:hAnsi="ˎ̥" w:cs="Arial"/>
                <w:color w:val="000000"/>
                <w:sz w:val="21"/>
                <w:szCs w:val="21"/>
              </w:rPr>
              <w:t>5</w:t>
            </w:r>
            <w:r w:rsidRPr="003E6D32">
              <w:rPr>
                <w:rFonts w:ascii="ˎ̥" w:eastAsia="宋体" w:hAnsi="ˎ̥" w:cs="Arial"/>
                <w:color w:val="000000"/>
                <w:sz w:val="21"/>
                <w:szCs w:val="21"/>
              </w:rPr>
              <w:t>月</w:t>
            </w:r>
            <w:r w:rsidRPr="003E6D32">
              <w:rPr>
                <w:rFonts w:ascii="ˎ̥" w:eastAsia="宋体" w:hAnsi="ˎ̥" w:cs="Arial"/>
                <w:color w:val="000000"/>
                <w:sz w:val="21"/>
                <w:szCs w:val="21"/>
              </w:rPr>
              <w:t>1</w:t>
            </w:r>
            <w:r w:rsidRPr="003E6D32">
              <w:rPr>
                <w:rFonts w:ascii="ˎ̥" w:eastAsia="宋体" w:hAnsi="ˎ̥" w:cs="Arial"/>
                <w:color w:val="000000"/>
                <w:sz w:val="21"/>
                <w:szCs w:val="21"/>
              </w:rPr>
              <w:t>日起施行。</w:t>
            </w:r>
            <w:r w:rsidRPr="003E6D32">
              <w:rPr>
                <w:rFonts w:ascii="ˎ̥" w:eastAsia="宋体" w:hAnsi="ˎ̥" w:cs="Arial"/>
                <w:color w:val="000000"/>
                <w:sz w:val="21"/>
                <w:szCs w:val="21"/>
              </w:rPr>
              <w:t>2011</w:t>
            </w:r>
            <w:r w:rsidRPr="003E6D32">
              <w:rPr>
                <w:rFonts w:ascii="ˎ̥" w:eastAsia="宋体" w:hAnsi="ˎ̥" w:cs="Arial"/>
                <w:color w:val="000000"/>
                <w:sz w:val="21"/>
                <w:szCs w:val="21"/>
              </w:rPr>
              <w:t>年</w:t>
            </w:r>
            <w:r w:rsidRPr="003E6D32">
              <w:rPr>
                <w:rFonts w:ascii="ˎ̥" w:eastAsia="宋体" w:hAnsi="ˎ̥" w:cs="Arial"/>
                <w:color w:val="000000"/>
                <w:sz w:val="21"/>
                <w:szCs w:val="21"/>
              </w:rPr>
              <w:t>7</w:t>
            </w:r>
            <w:r w:rsidRPr="003E6D32">
              <w:rPr>
                <w:rFonts w:ascii="ˎ̥" w:eastAsia="宋体" w:hAnsi="ˎ̥" w:cs="Arial"/>
                <w:color w:val="000000"/>
                <w:sz w:val="21"/>
                <w:szCs w:val="21"/>
              </w:rPr>
              <w:t>月</w:t>
            </w:r>
            <w:r w:rsidRPr="003E6D32">
              <w:rPr>
                <w:rFonts w:ascii="ˎ̥" w:eastAsia="宋体" w:hAnsi="ˎ̥" w:cs="Arial"/>
                <w:color w:val="000000"/>
                <w:sz w:val="21"/>
                <w:szCs w:val="21"/>
              </w:rPr>
              <w:t>1</w:t>
            </w:r>
            <w:r w:rsidRPr="003E6D32">
              <w:rPr>
                <w:rFonts w:ascii="ˎ̥" w:eastAsia="宋体" w:hAnsi="ˎ̥" w:cs="Arial"/>
                <w:color w:val="000000"/>
                <w:sz w:val="21"/>
                <w:szCs w:val="21"/>
              </w:rPr>
              <w:t>日起施行的《医疗器械召回管理办法（试行）》（中华人民共和国卫生部令第</w:t>
            </w:r>
            <w:r w:rsidRPr="003E6D32">
              <w:rPr>
                <w:rFonts w:ascii="ˎ̥" w:eastAsia="宋体" w:hAnsi="ˎ̥" w:cs="Arial"/>
                <w:color w:val="000000"/>
                <w:sz w:val="21"/>
                <w:szCs w:val="21"/>
              </w:rPr>
              <w:t>82</w:t>
            </w:r>
            <w:r w:rsidRPr="003E6D32">
              <w:rPr>
                <w:rFonts w:ascii="ˎ̥" w:eastAsia="宋体" w:hAnsi="ˎ̥" w:cs="Arial"/>
                <w:color w:val="000000"/>
                <w:sz w:val="21"/>
                <w:szCs w:val="21"/>
              </w:rPr>
              <w:t>号）同时废止。</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ˎ̥">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3E6D32"/>
    <w:rsid w:val="00426133"/>
    <w:rsid w:val="004358AB"/>
    <w:rsid w:val="008B7726"/>
    <w:rsid w:val="00B07AFD"/>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E6D32"/>
    <w:rPr>
      <w:b/>
      <w:bCs/>
    </w:rPr>
  </w:style>
  <w:style w:type="paragraph" w:styleId="a4">
    <w:name w:val="Balloon Text"/>
    <w:basedOn w:val="a"/>
    <w:link w:val="Char"/>
    <w:uiPriority w:val="99"/>
    <w:semiHidden/>
    <w:unhideWhenUsed/>
    <w:rsid w:val="003E6D32"/>
    <w:pPr>
      <w:spacing w:after="0"/>
    </w:pPr>
    <w:rPr>
      <w:sz w:val="18"/>
      <w:szCs w:val="18"/>
    </w:rPr>
  </w:style>
  <w:style w:type="character" w:customStyle="1" w:styleId="Char">
    <w:name w:val="批注框文本 Char"/>
    <w:basedOn w:val="a0"/>
    <w:link w:val="a4"/>
    <w:uiPriority w:val="99"/>
    <w:semiHidden/>
    <w:rsid w:val="003E6D3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907</Words>
  <Characters>5174</Characters>
  <Application>Microsoft Office Word</Application>
  <DocSecurity>0</DocSecurity>
  <Lines>43</Lines>
  <Paragraphs>12</Paragraphs>
  <ScaleCrop>false</ScaleCrop>
  <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2017-06-09T02:17:00Z</dcterms:modified>
</cp:coreProperties>
</file>